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A7" w:rsidRDefault="002D180B" w:rsidP="002D180B">
      <w:pPr>
        <w:spacing w:after="2" w:line="259" w:lineRule="auto"/>
        <w:ind w:left="0" w:firstLine="0"/>
        <w:rPr>
          <w:sz w:val="13"/>
        </w:rPr>
      </w:pPr>
      <w:r w:rsidRPr="002D180B">
        <w:rPr>
          <w:sz w:val="13"/>
        </w:rPr>
        <w:t>I samsvar med forskriften (EC) nr. 1907/2006 (REACH), vedlegg II, som endret av forskriften (EU) nr. 453/2010 -Norge</w:t>
      </w:r>
      <w:r w:rsidR="004F331F">
        <w:rPr>
          <w:sz w:val="13"/>
        </w:rPr>
        <w:t xml:space="preserve"> </w:t>
      </w:r>
    </w:p>
    <w:p w:rsidR="002D180B" w:rsidRDefault="002D180B">
      <w:pPr>
        <w:spacing w:after="2" w:line="259" w:lineRule="auto"/>
        <w:ind w:left="0" w:firstLine="0"/>
      </w:pPr>
    </w:p>
    <w:p w:rsidR="00C777A7" w:rsidRDefault="004F331F">
      <w:pPr>
        <w:spacing w:after="81" w:line="259" w:lineRule="auto"/>
        <w:ind w:left="24" w:firstLine="0"/>
      </w:pPr>
      <w:r>
        <w:t xml:space="preserve">  </w:t>
      </w:r>
    </w:p>
    <w:p w:rsidR="00C777A7" w:rsidRDefault="004F331F">
      <w:pPr>
        <w:spacing w:after="0" w:line="259" w:lineRule="auto"/>
        <w:ind w:left="38" w:right="1"/>
        <w:jc w:val="center"/>
      </w:pPr>
      <w:r>
        <w:rPr>
          <w:b/>
          <w:sz w:val="22"/>
        </w:rPr>
        <w:t xml:space="preserve">SIKKERHETSDATABLAD </w:t>
      </w:r>
    </w:p>
    <w:p w:rsidR="00C777A7" w:rsidRDefault="004F331F">
      <w:pPr>
        <w:spacing w:after="0" w:line="259" w:lineRule="auto"/>
        <w:ind w:left="38"/>
        <w:jc w:val="center"/>
      </w:pPr>
      <w:r>
        <w:rPr>
          <w:b/>
          <w:sz w:val="22"/>
        </w:rPr>
        <w:t>Propylenglykol</w:t>
      </w:r>
      <w:r>
        <w:t xml:space="preserve"> </w:t>
      </w:r>
    </w:p>
    <w:p w:rsidR="00C777A7" w:rsidRDefault="004F331F">
      <w:pPr>
        <w:spacing w:after="0" w:line="259" w:lineRule="auto"/>
        <w:ind w:left="24" w:firstLine="0"/>
      </w:pPr>
      <w:r>
        <w:t xml:space="preserve"> </w:t>
      </w:r>
    </w:p>
    <w:p w:rsidR="00C777A7" w:rsidRDefault="004F331F">
      <w:pPr>
        <w:spacing w:after="60" w:line="259" w:lineRule="auto"/>
        <w:ind w:left="24" w:firstLine="0"/>
      </w:pPr>
      <w:r>
        <w:t xml:space="preserve"> </w:t>
      </w:r>
    </w:p>
    <w:p w:rsidR="00C777A7" w:rsidRDefault="002D180B" w:rsidP="009242B4">
      <w:pPr>
        <w:pStyle w:val="Rubrik1"/>
        <w:shd w:val="clear" w:color="auto" w:fill="DEEAF6" w:themeFill="accent1" w:themeFillTint="33"/>
        <w:rPr>
          <w:b w:val="0"/>
          <w:sz w:val="12"/>
        </w:rPr>
      </w:pPr>
      <w:r>
        <w:t xml:space="preserve">Avsnitt </w:t>
      </w:r>
      <w:r w:rsidR="004F331F">
        <w:t xml:space="preserve">1. Identifikasjon av stoffet / </w:t>
      </w:r>
      <w:r>
        <w:t>stoffblandningen og</w:t>
      </w:r>
      <w:r w:rsidR="004F331F">
        <w:t xml:space="preserve"> selskapet / foretaket</w:t>
      </w:r>
      <w:r w:rsidR="004F331F">
        <w:rPr>
          <w:b w:val="0"/>
          <w:sz w:val="12"/>
        </w:rPr>
        <w:t xml:space="preserve"> </w:t>
      </w:r>
    </w:p>
    <w:p w:rsidR="002D180B" w:rsidRDefault="002D180B" w:rsidP="002D180B"/>
    <w:tbl>
      <w:tblPr>
        <w:tblStyle w:val="Tabellrutnt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6"/>
        <w:gridCol w:w="3566"/>
      </w:tblGrid>
      <w:tr w:rsidR="002D180B" w:rsidTr="009242B4">
        <w:tc>
          <w:tcPr>
            <w:tcW w:w="3579" w:type="dxa"/>
            <w:shd w:val="clear" w:color="auto" w:fill="FFFFFF" w:themeFill="background1"/>
          </w:tcPr>
          <w:p w:rsidR="002D180B" w:rsidRDefault="002D180B" w:rsidP="002D180B">
            <w:pPr>
              <w:ind w:left="0" w:firstLine="0"/>
            </w:pPr>
            <w:r>
              <w:t>1.1 Produktidentifikator</w:t>
            </w:r>
          </w:p>
        </w:tc>
        <w:tc>
          <w:tcPr>
            <w:tcW w:w="3579" w:type="dxa"/>
          </w:tcPr>
          <w:p w:rsidR="002D180B" w:rsidRDefault="002D180B" w:rsidP="002D180B">
            <w:pPr>
              <w:ind w:left="0" w:firstLine="0"/>
            </w:pPr>
          </w:p>
        </w:tc>
      </w:tr>
      <w:tr w:rsidR="002D180B" w:rsidTr="009242B4">
        <w:tc>
          <w:tcPr>
            <w:tcW w:w="3579" w:type="dxa"/>
            <w:shd w:val="clear" w:color="auto" w:fill="FFFFFF" w:themeFill="background1"/>
          </w:tcPr>
          <w:p w:rsidR="002D180B" w:rsidRDefault="002D180B" w:rsidP="002D180B">
            <w:pPr>
              <w:ind w:left="0" w:firstLine="0"/>
            </w:pPr>
            <w:r>
              <w:t>Produktnavn</w:t>
            </w:r>
          </w:p>
        </w:tc>
        <w:tc>
          <w:tcPr>
            <w:tcW w:w="3579" w:type="dxa"/>
          </w:tcPr>
          <w:p w:rsidR="002D180B" w:rsidRDefault="002D180B" w:rsidP="002D180B">
            <w:pPr>
              <w:ind w:left="0" w:firstLine="0"/>
            </w:pPr>
            <w:r>
              <w:t>Propylenglykol</w:t>
            </w:r>
          </w:p>
        </w:tc>
      </w:tr>
      <w:tr w:rsidR="002D180B" w:rsidTr="009242B4">
        <w:tc>
          <w:tcPr>
            <w:tcW w:w="3579" w:type="dxa"/>
            <w:shd w:val="clear" w:color="auto" w:fill="FFFFFF" w:themeFill="background1"/>
          </w:tcPr>
          <w:p w:rsidR="002D180B" w:rsidRDefault="002D180B" w:rsidP="002D180B">
            <w:pPr>
              <w:ind w:left="0" w:firstLine="0"/>
            </w:pPr>
            <w:r>
              <w:t>Bruksområde</w:t>
            </w:r>
          </w:p>
        </w:tc>
        <w:tc>
          <w:tcPr>
            <w:tcW w:w="3579" w:type="dxa"/>
          </w:tcPr>
          <w:p w:rsidR="002D180B" w:rsidRDefault="00F900EF" w:rsidP="002D180B">
            <w:pPr>
              <w:ind w:left="0" w:firstLine="0"/>
            </w:pPr>
            <w:r w:rsidRPr="00F900EF">
              <w:t>Frostvæske i bilen radiator</w:t>
            </w:r>
          </w:p>
        </w:tc>
      </w:tr>
      <w:tr w:rsidR="002D180B" w:rsidTr="009242B4">
        <w:tc>
          <w:tcPr>
            <w:tcW w:w="3579" w:type="dxa"/>
            <w:shd w:val="clear" w:color="auto" w:fill="FFFFFF" w:themeFill="background1"/>
          </w:tcPr>
          <w:p w:rsidR="002D180B" w:rsidRDefault="00146CFD" w:rsidP="002D180B">
            <w:pPr>
              <w:ind w:left="0" w:firstLine="0"/>
            </w:pPr>
            <w:r>
              <w:t xml:space="preserve">1.2. </w:t>
            </w:r>
            <w:r w:rsidRPr="00146CFD">
              <w:t>Relevante, identifiserte bruksområder for stoffet eller blandingen, og ikke-anbefalt bruk</w:t>
            </w:r>
          </w:p>
        </w:tc>
        <w:tc>
          <w:tcPr>
            <w:tcW w:w="3579" w:type="dxa"/>
          </w:tcPr>
          <w:p w:rsidR="002D180B" w:rsidRDefault="00146CFD" w:rsidP="002D180B">
            <w:pPr>
              <w:ind w:left="0" w:firstLine="0"/>
            </w:pPr>
            <w:r>
              <w:t>Ikke anvendelig</w:t>
            </w:r>
          </w:p>
        </w:tc>
      </w:tr>
      <w:tr w:rsidR="002D180B" w:rsidTr="009242B4">
        <w:tc>
          <w:tcPr>
            <w:tcW w:w="3579" w:type="dxa"/>
            <w:shd w:val="clear" w:color="auto" w:fill="FFFFFF" w:themeFill="background1"/>
          </w:tcPr>
          <w:p w:rsidR="002D180B" w:rsidRDefault="00146CFD" w:rsidP="002D180B">
            <w:pPr>
              <w:ind w:left="0" w:firstLine="0"/>
            </w:pPr>
            <w:r>
              <w:t xml:space="preserve">1.3 </w:t>
            </w:r>
            <w:r w:rsidRPr="00146CFD">
              <w:t xml:space="preserve"> Detaljer om leverandøren på sikkerhetsdatabladet</w:t>
            </w:r>
          </w:p>
        </w:tc>
        <w:tc>
          <w:tcPr>
            <w:tcW w:w="3579" w:type="dxa"/>
          </w:tcPr>
          <w:p w:rsidR="002D180B" w:rsidRDefault="002D180B" w:rsidP="002D180B">
            <w:pPr>
              <w:ind w:left="0" w:firstLine="0"/>
            </w:pPr>
          </w:p>
        </w:tc>
      </w:tr>
      <w:tr w:rsidR="002D180B" w:rsidTr="009242B4">
        <w:tc>
          <w:tcPr>
            <w:tcW w:w="3579" w:type="dxa"/>
            <w:shd w:val="clear" w:color="auto" w:fill="FFFFFF" w:themeFill="background1"/>
          </w:tcPr>
          <w:p w:rsidR="002D180B" w:rsidRDefault="00146CFD" w:rsidP="002D180B">
            <w:pPr>
              <w:ind w:left="0" w:firstLine="0"/>
            </w:pPr>
            <w:r w:rsidRPr="00146CFD">
              <w:t>Produsent / Distributør</w:t>
            </w:r>
          </w:p>
        </w:tc>
        <w:tc>
          <w:tcPr>
            <w:tcW w:w="3579" w:type="dxa"/>
          </w:tcPr>
          <w:p w:rsidR="002D180B" w:rsidRDefault="00146CFD" w:rsidP="002D180B">
            <w:pPr>
              <w:ind w:left="0" w:firstLine="0"/>
            </w:pPr>
            <w:r>
              <w:t>Uniol Produkter AB</w:t>
            </w:r>
          </w:p>
        </w:tc>
        <w:bookmarkStart w:id="0" w:name="_GoBack"/>
        <w:bookmarkEnd w:id="0"/>
      </w:tr>
      <w:tr w:rsidR="002D180B" w:rsidTr="009242B4">
        <w:tc>
          <w:tcPr>
            <w:tcW w:w="3579" w:type="dxa"/>
            <w:shd w:val="clear" w:color="auto" w:fill="FFFFFF" w:themeFill="background1"/>
          </w:tcPr>
          <w:p w:rsidR="002D180B" w:rsidRDefault="002D180B" w:rsidP="002D180B">
            <w:pPr>
              <w:ind w:left="0" w:firstLine="0"/>
            </w:pPr>
          </w:p>
        </w:tc>
        <w:tc>
          <w:tcPr>
            <w:tcW w:w="3579" w:type="dxa"/>
          </w:tcPr>
          <w:p w:rsidR="002D180B" w:rsidRDefault="00146CFD" w:rsidP="002D180B">
            <w:pPr>
              <w:ind w:left="0" w:firstLine="0"/>
            </w:pPr>
            <w:r>
              <w:t>Varola Solvik</w:t>
            </w:r>
          </w:p>
        </w:tc>
      </w:tr>
      <w:tr w:rsidR="002D180B" w:rsidTr="009242B4">
        <w:tc>
          <w:tcPr>
            <w:tcW w:w="3579" w:type="dxa"/>
            <w:shd w:val="clear" w:color="auto" w:fill="FFFFFF" w:themeFill="background1"/>
          </w:tcPr>
          <w:p w:rsidR="002D180B" w:rsidRDefault="002D180B" w:rsidP="002D180B">
            <w:pPr>
              <w:ind w:left="0" w:firstLine="0"/>
            </w:pPr>
          </w:p>
        </w:tc>
        <w:tc>
          <w:tcPr>
            <w:tcW w:w="3579" w:type="dxa"/>
          </w:tcPr>
          <w:p w:rsidR="002D180B" w:rsidRDefault="00146CFD" w:rsidP="002D180B">
            <w:pPr>
              <w:ind w:left="0" w:firstLine="0"/>
            </w:pPr>
            <w:r>
              <w:t>54193 Skövde</w:t>
            </w:r>
          </w:p>
        </w:tc>
      </w:tr>
      <w:tr w:rsidR="00146CFD" w:rsidTr="009242B4">
        <w:tc>
          <w:tcPr>
            <w:tcW w:w="3579" w:type="dxa"/>
            <w:shd w:val="clear" w:color="auto" w:fill="FFFFFF" w:themeFill="background1"/>
          </w:tcPr>
          <w:p w:rsidR="00146CFD" w:rsidRDefault="00146CFD" w:rsidP="002D180B">
            <w:pPr>
              <w:ind w:left="0" w:firstLine="0"/>
            </w:pPr>
          </w:p>
        </w:tc>
        <w:tc>
          <w:tcPr>
            <w:tcW w:w="3579" w:type="dxa"/>
          </w:tcPr>
          <w:p w:rsidR="00146CFD" w:rsidRDefault="00146CFD" w:rsidP="002D180B">
            <w:pPr>
              <w:ind w:left="0" w:firstLine="0"/>
            </w:pPr>
            <w:r>
              <w:t>Sweden</w:t>
            </w:r>
          </w:p>
          <w:p w:rsidR="00146CFD" w:rsidRDefault="00146CFD" w:rsidP="002D180B">
            <w:pPr>
              <w:ind w:left="0" w:firstLine="0"/>
            </w:pPr>
            <w:r>
              <w:t>Tel: +46500421240</w:t>
            </w:r>
          </w:p>
        </w:tc>
      </w:tr>
      <w:tr w:rsidR="00146CFD" w:rsidTr="009242B4">
        <w:tc>
          <w:tcPr>
            <w:tcW w:w="3579" w:type="dxa"/>
            <w:shd w:val="clear" w:color="auto" w:fill="FFFFFF" w:themeFill="background1"/>
          </w:tcPr>
          <w:p w:rsidR="00996268" w:rsidRDefault="00996268" w:rsidP="00996268">
            <w:pPr>
              <w:ind w:left="0" w:firstLine="0"/>
            </w:pPr>
            <w:r>
              <w:t>E</w:t>
            </w:r>
            <w:r w:rsidR="00146CFD">
              <w:t xml:space="preserve">-mail </w:t>
            </w:r>
          </w:p>
          <w:p w:rsidR="00146CFD" w:rsidRDefault="00146CFD" w:rsidP="00146CFD">
            <w:pPr>
              <w:ind w:left="0" w:firstLine="0"/>
            </w:pPr>
          </w:p>
        </w:tc>
        <w:tc>
          <w:tcPr>
            <w:tcW w:w="3579" w:type="dxa"/>
          </w:tcPr>
          <w:p w:rsidR="00146CFD" w:rsidRDefault="00146CFD" w:rsidP="002D180B">
            <w:pPr>
              <w:ind w:left="0" w:firstLine="0"/>
            </w:pPr>
            <w:r>
              <w:t>info@uniolprodukter.se</w:t>
            </w:r>
          </w:p>
        </w:tc>
      </w:tr>
      <w:tr w:rsidR="00146CFD" w:rsidTr="009242B4">
        <w:tc>
          <w:tcPr>
            <w:tcW w:w="3579" w:type="dxa"/>
            <w:shd w:val="clear" w:color="auto" w:fill="FFFFFF" w:themeFill="background1"/>
          </w:tcPr>
          <w:p w:rsidR="00146CFD" w:rsidRDefault="00146CFD" w:rsidP="00146CFD">
            <w:pPr>
              <w:ind w:left="0" w:firstLine="0"/>
            </w:pPr>
            <w:r>
              <w:t xml:space="preserve">1.4 </w:t>
            </w:r>
            <w:r w:rsidRPr="00146CFD">
              <w:t>Nødtelefonnummer</w:t>
            </w:r>
          </w:p>
          <w:p w:rsidR="00146CFD" w:rsidRDefault="00146CFD" w:rsidP="00146CFD">
            <w:pPr>
              <w:ind w:left="0" w:firstLine="0"/>
            </w:pPr>
          </w:p>
        </w:tc>
        <w:tc>
          <w:tcPr>
            <w:tcW w:w="3579" w:type="dxa"/>
          </w:tcPr>
          <w:p w:rsidR="00146CFD" w:rsidRDefault="00146CFD" w:rsidP="009242B4">
            <w:pPr>
              <w:spacing w:after="160" w:line="259" w:lineRule="auto"/>
              <w:ind w:left="0" w:firstLine="0"/>
            </w:pPr>
            <w:r>
              <w:t>Giftinformasjonen - Tlf.: 22 59 13 00</w:t>
            </w:r>
          </w:p>
        </w:tc>
      </w:tr>
    </w:tbl>
    <w:p w:rsidR="009242B4" w:rsidRDefault="009242B4" w:rsidP="00996268">
      <w:pPr>
        <w:shd w:val="clear" w:color="auto" w:fill="FFFFFF" w:themeFill="background1"/>
        <w:spacing w:after="60" w:line="259" w:lineRule="auto"/>
        <w:ind w:left="0" w:firstLine="0"/>
      </w:pPr>
    </w:p>
    <w:p w:rsidR="009242B4" w:rsidRDefault="009242B4" w:rsidP="009242B4">
      <w:pPr>
        <w:pStyle w:val="Rubrik1"/>
        <w:shd w:val="clear" w:color="auto" w:fill="DEEAF6" w:themeFill="accent1" w:themeFillTint="33"/>
        <w:rPr>
          <w:b w:val="0"/>
          <w:sz w:val="12"/>
        </w:rPr>
      </w:pPr>
      <w:r>
        <w:t xml:space="preserve">Avsnitt 2. </w:t>
      </w:r>
      <w:r w:rsidRPr="009242B4">
        <w:t>Fareidentifikasjon</w:t>
      </w:r>
      <w:r>
        <w:rPr>
          <w:b w:val="0"/>
          <w:sz w:val="12"/>
        </w:rPr>
        <w:t xml:space="preserve"> </w:t>
      </w:r>
    </w:p>
    <w:p w:rsidR="002D180B" w:rsidRDefault="002D180B" w:rsidP="002D180B"/>
    <w:tbl>
      <w:tblPr>
        <w:tblStyle w:val="Tabellrutnt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4"/>
      </w:tblGrid>
      <w:tr w:rsidR="009242B4" w:rsidTr="00164E77">
        <w:tc>
          <w:tcPr>
            <w:tcW w:w="3569" w:type="dxa"/>
            <w:shd w:val="clear" w:color="auto" w:fill="FFFFFF" w:themeFill="background1"/>
          </w:tcPr>
          <w:p w:rsidR="00E51E22" w:rsidRDefault="009242B4" w:rsidP="009242B4">
            <w:pPr>
              <w:ind w:left="0" w:firstLine="0"/>
            </w:pPr>
            <w:r>
              <w:t xml:space="preserve">2.1 </w:t>
            </w:r>
            <w:r w:rsidR="00E51E22" w:rsidRPr="00E51E22">
              <w:t xml:space="preserve"> Klassifisering av stoffet eller stoffblandingen</w:t>
            </w:r>
          </w:p>
          <w:p w:rsidR="008E131B" w:rsidRDefault="008E131B" w:rsidP="009242B4">
            <w:pPr>
              <w:ind w:left="0" w:firstLine="0"/>
            </w:pPr>
          </w:p>
          <w:p w:rsidR="009242B4" w:rsidRDefault="009242B4" w:rsidP="009242B4">
            <w:pPr>
              <w:ind w:left="0" w:firstLine="0"/>
            </w:pPr>
          </w:p>
        </w:tc>
        <w:tc>
          <w:tcPr>
            <w:tcW w:w="3565" w:type="dxa"/>
          </w:tcPr>
          <w:p w:rsidR="009242B4" w:rsidRDefault="009242B4" w:rsidP="004F331F">
            <w:pPr>
              <w:ind w:left="0" w:firstLine="0"/>
            </w:pPr>
          </w:p>
        </w:tc>
      </w:tr>
      <w:tr w:rsidR="008E131B" w:rsidTr="00164E77">
        <w:tc>
          <w:tcPr>
            <w:tcW w:w="3569" w:type="dxa"/>
            <w:shd w:val="clear" w:color="auto" w:fill="FFFFFF" w:themeFill="background1"/>
          </w:tcPr>
          <w:p w:rsidR="008E131B" w:rsidRDefault="008E131B" w:rsidP="00164E77">
            <w:pPr>
              <w:ind w:left="0" w:firstLine="0"/>
            </w:pPr>
          </w:p>
          <w:p w:rsidR="008E131B" w:rsidRDefault="008E131B" w:rsidP="00164E77">
            <w:pPr>
              <w:ind w:left="0" w:firstLine="0"/>
            </w:pPr>
            <w:r>
              <w:t>Klassifisering ifølge direktiv 1999/45/EØF [DPD]</w:t>
            </w:r>
          </w:p>
          <w:p w:rsidR="008E131B" w:rsidRDefault="008E131B" w:rsidP="00164E77">
            <w:pPr>
              <w:ind w:left="0" w:firstLine="0"/>
            </w:pPr>
          </w:p>
          <w:p w:rsidR="008E131B" w:rsidRDefault="008E131B" w:rsidP="008E131B">
            <w:pPr>
              <w:spacing w:after="14" w:line="259" w:lineRule="auto"/>
              <w:ind w:right="518"/>
            </w:pPr>
            <w:r>
              <w:t>Klassifisering</w:t>
            </w:r>
          </w:p>
        </w:tc>
        <w:tc>
          <w:tcPr>
            <w:tcW w:w="3565" w:type="dxa"/>
          </w:tcPr>
          <w:p w:rsidR="008E131B" w:rsidRDefault="008E131B" w:rsidP="004F331F">
            <w:pPr>
              <w:ind w:left="0" w:firstLine="0"/>
            </w:pPr>
          </w:p>
          <w:p w:rsidR="008E131B" w:rsidRDefault="008E131B" w:rsidP="004F331F">
            <w:pPr>
              <w:ind w:left="0" w:firstLine="0"/>
            </w:pPr>
            <w:r>
              <w:t>Dette produktet er ikke klassifisert som farlig i henhold til direktiv 1999/45/EU med endringer</w:t>
            </w:r>
          </w:p>
          <w:p w:rsidR="008E131B" w:rsidRDefault="008E131B" w:rsidP="004F331F">
            <w:pPr>
              <w:ind w:left="0" w:firstLine="0"/>
            </w:pPr>
            <w:r w:rsidRPr="008E131B">
              <w:t>Ikke klassifisert.</w:t>
            </w:r>
          </w:p>
        </w:tc>
      </w:tr>
      <w:tr w:rsidR="008E131B" w:rsidTr="00164E77">
        <w:tc>
          <w:tcPr>
            <w:tcW w:w="3569" w:type="dxa"/>
            <w:shd w:val="clear" w:color="auto" w:fill="FFFFFF" w:themeFill="background1"/>
          </w:tcPr>
          <w:p w:rsidR="008E131B" w:rsidRDefault="008E131B" w:rsidP="00164E77">
            <w:pPr>
              <w:ind w:left="0" w:firstLine="0"/>
            </w:pPr>
          </w:p>
          <w:p w:rsidR="008E131B" w:rsidRDefault="008E131B" w:rsidP="008E131B">
            <w:pPr>
              <w:ind w:left="0" w:firstLine="0"/>
            </w:pPr>
            <w:r>
              <w:t xml:space="preserve">2.2 2.2 Merkelementer: </w:t>
            </w:r>
          </w:p>
          <w:p w:rsidR="008E131B" w:rsidRDefault="008E131B" w:rsidP="00164E77">
            <w:pPr>
              <w:ind w:left="0" w:firstLine="0"/>
            </w:pPr>
          </w:p>
          <w:p w:rsidR="008E131B" w:rsidRDefault="008E131B" w:rsidP="00164E77">
            <w:pPr>
              <w:ind w:left="0" w:firstLine="0"/>
            </w:pPr>
          </w:p>
          <w:p w:rsidR="008E131B" w:rsidRDefault="008E131B" w:rsidP="008E131B">
            <w:pPr>
              <w:ind w:left="0" w:firstLine="0"/>
            </w:pPr>
            <w:r>
              <w:t>2.3 Andre farer</w:t>
            </w:r>
          </w:p>
          <w:p w:rsidR="008E131B" w:rsidRDefault="008E131B" w:rsidP="008E131B">
            <w:pPr>
              <w:ind w:left="0" w:firstLine="0"/>
            </w:pPr>
          </w:p>
        </w:tc>
        <w:tc>
          <w:tcPr>
            <w:tcW w:w="3565" w:type="dxa"/>
          </w:tcPr>
          <w:p w:rsidR="008E131B" w:rsidRDefault="008E131B" w:rsidP="004F331F">
            <w:pPr>
              <w:ind w:left="0" w:firstLine="0"/>
            </w:pPr>
          </w:p>
          <w:p w:rsidR="008E131B" w:rsidRDefault="008E131B" w:rsidP="008E131B">
            <w:pPr>
              <w:ind w:left="0" w:firstLine="0"/>
            </w:pPr>
            <w:r>
              <w:t>Krever ikke merking</w:t>
            </w:r>
          </w:p>
          <w:p w:rsidR="008E131B" w:rsidRDefault="008E131B" w:rsidP="004F331F">
            <w:pPr>
              <w:ind w:left="0" w:firstLine="0"/>
            </w:pPr>
          </w:p>
          <w:p w:rsidR="008E131B" w:rsidRDefault="008E131B" w:rsidP="004F331F">
            <w:pPr>
              <w:ind w:left="0" w:firstLine="0"/>
            </w:pPr>
          </w:p>
          <w:p w:rsidR="008E131B" w:rsidRDefault="008E131B" w:rsidP="004F331F">
            <w:pPr>
              <w:ind w:left="0" w:firstLine="0"/>
            </w:pPr>
            <w:r>
              <w:t>Ikke kjent</w:t>
            </w:r>
          </w:p>
          <w:p w:rsidR="008E131B" w:rsidRDefault="008E131B" w:rsidP="004F331F">
            <w:pPr>
              <w:ind w:left="0" w:firstLine="0"/>
            </w:pPr>
          </w:p>
        </w:tc>
      </w:tr>
    </w:tbl>
    <w:p w:rsidR="00164E77" w:rsidRDefault="00164E77" w:rsidP="00164E77">
      <w:pPr>
        <w:spacing w:after="60" w:line="259" w:lineRule="auto"/>
        <w:ind w:left="24" w:firstLine="0"/>
      </w:pPr>
    </w:p>
    <w:p w:rsidR="009242B4" w:rsidRDefault="00164E77" w:rsidP="00164E77">
      <w:pPr>
        <w:pStyle w:val="Rubrik1"/>
        <w:ind w:left="56"/>
      </w:pPr>
      <w:r>
        <w:t xml:space="preserve">Avsnitt 3. Sammensetning /opplysning om innholdsstoffer </w:t>
      </w:r>
    </w:p>
    <w:p w:rsidR="009242B4" w:rsidRDefault="009242B4" w:rsidP="002D180B"/>
    <w:p w:rsidR="00164E77" w:rsidRDefault="00164E77" w:rsidP="002D180B"/>
    <w:tbl>
      <w:tblPr>
        <w:tblStyle w:val="Tabellrutnt"/>
        <w:tblW w:w="0" w:type="auto"/>
        <w:tblInd w:w="34" w:type="dxa"/>
        <w:tblLook w:val="04A0" w:firstRow="1" w:lastRow="0" w:firstColumn="1" w:lastColumn="0" w:noHBand="0" w:noVBand="1"/>
      </w:tblPr>
      <w:tblGrid>
        <w:gridCol w:w="1284"/>
        <w:gridCol w:w="2063"/>
        <w:gridCol w:w="911"/>
        <w:gridCol w:w="1007"/>
        <w:gridCol w:w="1007"/>
        <w:gridCol w:w="850"/>
      </w:tblGrid>
      <w:tr w:rsidR="00FC33FE" w:rsidTr="00FC33FE">
        <w:tc>
          <w:tcPr>
            <w:tcW w:w="1188" w:type="dxa"/>
          </w:tcPr>
          <w:p w:rsidR="00FC33FE" w:rsidRDefault="00FC33FE" w:rsidP="002D180B">
            <w:pPr>
              <w:ind w:left="0" w:firstLine="0"/>
            </w:pPr>
            <w:r>
              <w:t>Bestanddel</w:t>
            </w:r>
          </w:p>
        </w:tc>
        <w:tc>
          <w:tcPr>
            <w:tcW w:w="1188" w:type="dxa"/>
          </w:tcPr>
          <w:p w:rsidR="00FC33FE" w:rsidRDefault="00FC33FE" w:rsidP="002D180B">
            <w:pPr>
              <w:ind w:left="0" w:firstLine="0"/>
            </w:pPr>
            <w:r>
              <w:t>Identifikator</w:t>
            </w:r>
          </w:p>
        </w:tc>
        <w:tc>
          <w:tcPr>
            <w:tcW w:w="1187" w:type="dxa"/>
          </w:tcPr>
          <w:p w:rsidR="00FC33FE" w:rsidRDefault="00FC33FE" w:rsidP="00FC33FE">
            <w:pPr>
              <w:ind w:left="0" w:firstLine="0"/>
            </w:pPr>
            <w:r>
              <w:t xml:space="preserve">Innhold </w:t>
            </w:r>
          </w:p>
          <w:p w:rsidR="00FC33FE" w:rsidRDefault="00FC33FE" w:rsidP="00FC33FE">
            <w:pPr>
              <w:ind w:left="0" w:firstLine="0"/>
            </w:pPr>
            <w:r>
              <w:t>%</w:t>
            </w:r>
          </w:p>
        </w:tc>
        <w:tc>
          <w:tcPr>
            <w:tcW w:w="2374" w:type="dxa"/>
            <w:gridSpan w:val="2"/>
          </w:tcPr>
          <w:p w:rsidR="00FC33FE" w:rsidRDefault="00FC33FE" w:rsidP="00FC33FE">
            <w:pPr>
              <w:ind w:left="0" w:firstLine="0"/>
            </w:pPr>
            <w:r>
              <w:t>Klassifisering</w:t>
            </w:r>
          </w:p>
          <w:p w:rsidR="00FC33FE" w:rsidRDefault="00FC33FE" w:rsidP="00FC33FE">
            <w:pPr>
              <w:ind w:left="0" w:firstLine="0"/>
            </w:pPr>
            <w:r>
              <w:t>67/548/EF (EF) nr.1272/2008</w:t>
            </w:r>
          </w:p>
        </w:tc>
        <w:tc>
          <w:tcPr>
            <w:tcW w:w="1187" w:type="dxa"/>
          </w:tcPr>
          <w:p w:rsidR="00FC33FE" w:rsidRDefault="00FC33FE" w:rsidP="002D180B">
            <w:pPr>
              <w:ind w:left="0" w:firstLine="0"/>
            </w:pPr>
            <w:r>
              <w:t>Type</w:t>
            </w:r>
          </w:p>
        </w:tc>
      </w:tr>
      <w:tr w:rsidR="00FC33FE" w:rsidTr="00FC33FE">
        <w:tc>
          <w:tcPr>
            <w:tcW w:w="1188" w:type="dxa"/>
          </w:tcPr>
          <w:p w:rsidR="00FC33FE" w:rsidRDefault="00FC33FE" w:rsidP="00FC33FE">
            <w:pPr>
              <w:ind w:left="0" w:firstLine="0"/>
            </w:pPr>
            <w:r>
              <w:t>Monopropylenglykol</w:t>
            </w:r>
          </w:p>
        </w:tc>
        <w:tc>
          <w:tcPr>
            <w:tcW w:w="1188" w:type="dxa"/>
          </w:tcPr>
          <w:p w:rsidR="00FC33FE" w:rsidRPr="002D180B" w:rsidRDefault="00FC33FE" w:rsidP="00FC33FE">
            <w:pPr>
              <w:tabs>
                <w:tab w:val="center" w:pos="2787"/>
                <w:tab w:val="center" w:pos="4351"/>
                <w:tab w:val="center" w:pos="6244"/>
              </w:tabs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CAS-nr.: 57-55-6 </w:t>
            </w:r>
            <w:r>
              <w:rPr>
                <w:lang w:val="en-US"/>
              </w:rPr>
              <w:tab/>
              <w:t xml:space="preserve">  </w:t>
            </w:r>
          </w:p>
          <w:p w:rsidR="00FC33FE" w:rsidRDefault="00FC33FE" w:rsidP="00FC33FE">
            <w:pPr>
              <w:ind w:left="0" w:firstLine="0"/>
            </w:pPr>
            <w:r w:rsidRPr="002D180B">
              <w:rPr>
                <w:lang w:val="en-US"/>
              </w:rPr>
              <w:t>EC-nr.: 200-338-0</w:t>
            </w:r>
          </w:p>
        </w:tc>
        <w:tc>
          <w:tcPr>
            <w:tcW w:w="1187" w:type="dxa"/>
          </w:tcPr>
          <w:p w:rsidR="00FC33FE" w:rsidRDefault="00E51E22" w:rsidP="002D180B">
            <w:pPr>
              <w:ind w:left="0" w:firstLine="0"/>
            </w:pPr>
            <w:r>
              <w:t>95-100</w:t>
            </w:r>
          </w:p>
        </w:tc>
        <w:tc>
          <w:tcPr>
            <w:tcW w:w="1187" w:type="dxa"/>
          </w:tcPr>
          <w:p w:rsidR="00FC33FE" w:rsidRDefault="00FC33FE" w:rsidP="002D180B">
            <w:pPr>
              <w:ind w:left="0" w:firstLine="0"/>
            </w:pPr>
            <w:r w:rsidRPr="00FC33FE">
              <w:t>Ikke klassifisert.</w:t>
            </w:r>
          </w:p>
        </w:tc>
        <w:tc>
          <w:tcPr>
            <w:tcW w:w="1187" w:type="dxa"/>
          </w:tcPr>
          <w:p w:rsidR="00FC33FE" w:rsidRDefault="00FC33FE" w:rsidP="002D180B">
            <w:pPr>
              <w:ind w:left="0" w:firstLine="0"/>
            </w:pPr>
            <w:r w:rsidRPr="00FC33FE">
              <w:t>Ikke klassifisert.</w:t>
            </w:r>
          </w:p>
        </w:tc>
        <w:tc>
          <w:tcPr>
            <w:tcW w:w="1187" w:type="dxa"/>
          </w:tcPr>
          <w:p w:rsidR="00FC33FE" w:rsidRDefault="00FC33FE" w:rsidP="002D180B">
            <w:pPr>
              <w:ind w:left="0" w:firstLine="0"/>
            </w:pPr>
            <w:r w:rsidRPr="00FC33FE">
              <w:t>[2]</w:t>
            </w:r>
          </w:p>
        </w:tc>
      </w:tr>
    </w:tbl>
    <w:p w:rsidR="00164E77" w:rsidRDefault="00164E77" w:rsidP="002D180B"/>
    <w:p w:rsidR="008E131B" w:rsidRDefault="008E131B" w:rsidP="008E131B">
      <w:r>
        <w:t>[1] Stoff klassifisert med en helse - eller miljøfare</w:t>
      </w:r>
    </w:p>
    <w:p w:rsidR="008E131B" w:rsidRDefault="008E131B" w:rsidP="008E131B">
      <w:r>
        <w:t>[2] Stoff med en yrkeshygienisk grenseverdi</w:t>
      </w:r>
    </w:p>
    <w:p w:rsidR="008E131B" w:rsidRDefault="008E131B" w:rsidP="008E131B">
      <w:r>
        <w:t>[3] Stoffet oppfyller kriteriene for PBT ifølge forskriften (EC) nr. 1907/2006, tillegg XIII</w:t>
      </w:r>
    </w:p>
    <w:p w:rsidR="00FC33FE" w:rsidRDefault="008E131B" w:rsidP="008E131B">
      <w:r>
        <w:t>[4] Stoffet oppfyller kriteriene for vPvB ifølge forskriften (EC) nr. 1907/2006, tillegg XIII</w:t>
      </w:r>
    </w:p>
    <w:p w:rsidR="00FC33FE" w:rsidRDefault="00FC33FE" w:rsidP="002D180B"/>
    <w:p w:rsidR="00FC33FE" w:rsidRDefault="00FC33FE" w:rsidP="002D180B"/>
    <w:p w:rsidR="00164E77" w:rsidRDefault="00164E77" w:rsidP="002D180B"/>
    <w:p w:rsidR="007B2253" w:rsidRDefault="007B2253" w:rsidP="007B2253">
      <w:pPr>
        <w:spacing w:after="60" w:line="259" w:lineRule="auto"/>
        <w:ind w:left="24" w:firstLine="0"/>
      </w:pPr>
    </w:p>
    <w:p w:rsidR="007B2253" w:rsidRDefault="007B2253" w:rsidP="007B2253">
      <w:pPr>
        <w:pStyle w:val="Rubrik1"/>
        <w:ind w:left="56"/>
      </w:pPr>
      <w:r>
        <w:t>Avsnitt 4. Førstehjelpstiltak</w:t>
      </w:r>
    </w:p>
    <w:p w:rsidR="00164E77" w:rsidRDefault="00164E77" w:rsidP="002D180B"/>
    <w:p w:rsidR="004F331F" w:rsidRDefault="004F331F" w:rsidP="002D180B"/>
    <w:p w:rsidR="004F331F" w:rsidRDefault="004F331F" w:rsidP="002D180B">
      <w:r w:rsidRPr="004F331F">
        <w:t>4.1 Beskrivelse av førstehjelpstiltak</w:t>
      </w:r>
    </w:p>
    <w:p w:rsidR="004F331F" w:rsidRDefault="004F331F" w:rsidP="002D180B"/>
    <w:tbl>
      <w:tblPr>
        <w:tblStyle w:val="Tabellrutnt"/>
        <w:tblW w:w="0" w:type="auto"/>
        <w:tblInd w:w="34" w:type="dxa"/>
        <w:tblLook w:val="04A0" w:firstRow="1" w:lastRow="0" w:firstColumn="1" w:lastColumn="0" w:noHBand="0" w:noVBand="1"/>
      </w:tblPr>
      <w:tblGrid>
        <w:gridCol w:w="3559"/>
        <w:gridCol w:w="3563"/>
      </w:tblGrid>
      <w:tr w:rsidR="004F331F" w:rsidTr="00193EAE">
        <w:tc>
          <w:tcPr>
            <w:tcW w:w="3560" w:type="dxa"/>
          </w:tcPr>
          <w:p w:rsidR="004F331F" w:rsidRDefault="004F331F" w:rsidP="004F331F">
            <w:pPr>
              <w:spacing w:after="160" w:line="259" w:lineRule="auto"/>
              <w:ind w:left="0" w:firstLine="0"/>
            </w:pPr>
            <w:r>
              <w:t>Generelt</w:t>
            </w:r>
          </w:p>
        </w:tc>
        <w:tc>
          <w:tcPr>
            <w:tcW w:w="3564" w:type="dxa"/>
          </w:tcPr>
          <w:p w:rsidR="004F331F" w:rsidRDefault="004F331F" w:rsidP="002D180B">
            <w:pPr>
              <w:ind w:left="0" w:firstLine="0"/>
            </w:pPr>
            <w:r w:rsidRPr="004F331F">
              <w:t>Ta av forurensede klær</w:t>
            </w:r>
          </w:p>
        </w:tc>
      </w:tr>
      <w:tr w:rsidR="004F331F" w:rsidTr="00193EAE">
        <w:tc>
          <w:tcPr>
            <w:tcW w:w="3560" w:type="dxa"/>
          </w:tcPr>
          <w:p w:rsidR="004F331F" w:rsidRDefault="004F331F" w:rsidP="004F331F">
            <w:pPr>
              <w:spacing w:after="160" w:line="259" w:lineRule="auto"/>
              <w:ind w:left="0" w:firstLine="0"/>
            </w:pPr>
            <w:r w:rsidRPr="004F331F">
              <w:t>Innånding</w:t>
            </w:r>
          </w:p>
        </w:tc>
        <w:tc>
          <w:tcPr>
            <w:tcW w:w="3564" w:type="dxa"/>
          </w:tcPr>
          <w:p w:rsidR="004F331F" w:rsidRDefault="004F331F" w:rsidP="004F331F">
            <w:r>
              <w:t xml:space="preserve">Frisk luft. </w:t>
            </w:r>
          </w:p>
          <w:p w:rsidR="004F331F" w:rsidRDefault="004F331F" w:rsidP="002D180B">
            <w:pPr>
              <w:ind w:left="0" w:firstLine="0"/>
            </w:pPr>
          </w:p>
        </w:tc>
      </w:tr>
      <w:tr w:rsidR="004F331F" w:rsidTr="00193EAE">
        <w:tc>
          <w:tcPr>
            <w:tcW w:w="3560" w:type="dxa"/>
          </w:tcPr>
          <w:p w:rsidR="004F331F" w:rsidRDefault="004F331F" w:rsidP="004F331F">
            <w:pPr>
              <w:spacing w:after="160" w:line="259" w:lineRule="auto"/>
              <w:ind w:left="0" w:firstLine="0"/>
            </w:pPr>
            <w:r>
              <w:t>Hudkontakt</w:t>
            </w:r>
          </w:p>
        </w:tc>
        <w:tc>
          <w:tcPr>
            <w:tcW w:w="3564" w:type="dxa"/>
          </w:tcPr>
          <w:p w:rsidR="004F331F" w:rsidRDefault="004F331F" w:rsidP="002D180B">
            <w:pPr>
              <w:ind w:left="0" w:firstLine="0"/>
            </w:pPr>
            <w:r>
              <w:t>Vask huden med såpe og vann</w:t>
            </w:r>
          </w:p>
        </w:tc>
      </w:tr>
      <w:tr w:rsidR="004F331F" w:rsidTr="00193EAE">
        <w:tc>
          <w:tcPr>
            <w:tcW w:w="3560" w:type="dxa"/>
          </w:tcPr>
          <w:p w:rsidR="004F331F" w:rsidRDefault="004F331F" w:rsidP="004F331F">
            <w:pPr>
              <w:spacing w:after="160" w:line="259" w:lineRule="auto"/>
              <w:ind w:left="0" w:firstLine="0"/>
            </w:pPr>
            <w:r>
              <w:t>Øyekontakt</w:t>
            </w:r>
          </w:p>
        </w:tc>
        <w:tc>
          <w:tcPr>
            <w:tcW w:w="3564" w:type="dxa"/>
          </w:tcPr>
          <w:p w:rsidR="004F331F" w:rsidRDefault="004F331F" w:rsidP="004F331F">
            <w:pPr>
              <w:spacing w:after="14" w:line="259" w:lineRule="auto"/>
              <w:ind w:left="24" w:right="518" w:firstLine="0"/>
            </w:pPr>
            <w:r>
              <w:t xml:space="preserve">Skyll straks med vann eller øye vask i minst 5 minutter. Hvis irritasjonen vedvarer (Intens svie, smerte, lysfølsomhet, syns symptomer), fortsett å skylle og kontakt lege hvis ubehaget vedvarer. </w:t>
            </w:r>
          </w:p>
          <w:p w:rsidR="004F331F" w:rsidRDefault="004F331F" w:rsidP="004F331F">
            <w:pPr>
              <w:ind w:left="0" w:firstLine="0"/>
            </w:pPr>
          </w:p>
        </w:tc>
      </w:tr>
      <w:tr w:rsidR="004F331F" w:rsidTr="00193EAE">
        <w:tc>
          <w:tcPr>
            <w:tcW w:w="3560" w:type="dxa"/>
          </w:tcPr>
          <w:p w:rsidR="004F331F" w:rsidRDefault="004F331F" w:rsidP="002D180B">
            <w:pPr>
              <w:ind w:left="0" w:firstLine="0"/>
            </w:pPr>
            <w:r w:rsidRPr="004F331F">
              <w:t>Svelging</w:t>
            </w:r>
          </w:p>
        </w:tc>
        <w:tc>
          <w:tcPr>
            <w:tcW w:w="3564" w:type="dxa"/>
          </w:tcPr>
          <w:p w:rsidR="004F331F" w:rsidRDefault="00193EAE" w:rsidP="002D180B">
            <w:pPr>
              <w:ind w:left="0" w:firstLine="0"/>
            </w:pPr>
            <w:r w:rsidRPr="00193EAE">
              <w:t>Skyll munnen og drikk rikelig med vann. Kontakt lege dersom symptomene vedvarer.</w:t>
            </w:r>
          </w:p>
        </w:tc>
      </w:tr>
    </w:tbl>
    <w:p w:rsidR="004F331F" w:rsidRDefault="004F331F" w:rsidP="002D180B"/>
    <w:p w:rsidR="007A14D3" w:rsidRDefault="007A14D3" w:rsidP="002D180B">
      <w:r w:rsidRPr="007A14D3">
        <w:lastRenderedPageBreak/>
        <w:t>4.2 De viktigste symptomene og virkningene, både akutte og forsinkede</w:t>
      </w:r>
    </w:p>
    <w:p w:rsidR="007A14D3" w:rsidRDefault="007A14D3" w:rsidP="002D180B"/>
    <w:p w:rsidR="007A14D3" w:rsidRDefault="007A14D3" w:rsidP="007A14D3">
      <w:r>
        <w:t>Symptomer</w:t>
      </w:r>
      <w:r>
        <w:tab/>
      </w:r>
      <w:r>
        <w:tab/>
      </w:r>
      <w:r>
        <w:t xml:space="preserve"> </w:t>
      </w:r>
      <w:r>
        <w:t>Ingen informasjon</w:t>
      </w:r>
    </w:p>
    <w:p w:rsidR="007A14D3" w:rsidRDefault="007A14D3" w:rsidP="007A14D3"/>
    <w:p w:rsidR="007A14D3" w:rsidRDefault="007A14D3" w:rsidP="007A14D3">
      <w:r>
        <w:t>Virkningen</w:t>
      </w:r>
      <w:r>
        <w:tab/>
      </w:r>
      <w:r>
        <w:tab/>
      </w:r>
      <w:r>
        <w:t>Ingen informasjon</w:t>
      </w:r>
    </w:p>
    <w:p w:rsidR="007A14D3" w:rsidRDefault="007A14D3" w:rsidP="002D180B"/>
    <w:p w:rsidR="00323D1F" w:rsidRDefault="00323D1F" w:rsidP="002D180B">
      <w:r w:rsidRPr="00323D1F">
        <w:t>4.3 Angivelse av om umiddelbar legehjelp og spesialbehandling er nødvendig</w:t>
      </w:r>
      <w:r w:rsidRPr="00323D1F">
        <w:cr/>
      </w:r>
    </w:p>
    <w:p w:rsidR="00323D1F" w:rsidRDefault="00323D1F" w:rsidP="00225818">
      <w:pPr>
        <w:ind w:left="2604" w:hanging="2580"/>
      </w:pPr>
      <w:r>
        <w:t>Behandling</w:t>
      </w:r>
      <w:r>
        <w:tab/>
      </w:r>
      <w:r>
        <w:tab/>
      </w:r>
      <w:r>
        <w:t>Behandles symptomatisk. Påse at medisinsk personell vet hva de stoffene som er involvert, og at de tar nødvendige vernetiltak.</w:t>
      </w:r>
    </w:p>
    <w:p w:rsidR="00323D1F" w:rsidRDefault="00323D1F" w:rsidP="002D180B"/>
    <w:p w:rsidR="00323D1F" w:rsidRDefault="00323D1F" w:rsidP="002D180B"/>
    <w:p w:rsidR="00323D1F" w:rsidRDefault="00323D1F" w:rsidP="002D180B"/>
    <w:p w:rsidR="004F331F" w:rsidRDefault="00A500D3" w:rsidP="00A500D3">
      <w:pPr>
        <w:pStyle w:val="Rubrik1"/>
        <w:ind w:left="56"/>
      </w:pPr>
      <w:r>
        <w:t>Avsnitt 5</w:t>
      </w:r>
      <w:r>
        <w:t xml:space="preserve">. </w:t>
      </w:r>
      <w:r w:rsidRPr="00A500D3">
        <w:t>Brannslokkingstiltak</w:t>
      </w:r>
    </w:p>
    <w:p w:rsidR="00A500D3" w:rsidRDefault="00A500D3" w:rsidP="002D180B"/>
    <w:p w:rsidR="00A500D3" w:rsidRDefault="00A500D3" w:rsidP="002D180B">
      <w:r w:rsidRPr="00A500D3">
        <w:t>5.1 Slokkingsmidler</w:t>
      </w:r>
      <w:r w:rsidRPr="00A500D3">
        <w:cr/>
      </w:r>
    </w:p>
    <w:p w:rsidR="00A500D3" w:rsidRDefault="00A500D3" w:rsidP="00A500D3">
      <w:r>
        <w:t>Egnete</w:t>
      </w:r>
      <w:r>
        <w:tab/>
      </w:r>
      <w:r>
        <w:tab/>
      </w:r>
      <w:r>
        <w:t>Vannspray, skum,</w:t>
      </w:r>
      <w:r w:rsidRPr="00A500D3">
        <w:t xml:space="preserve"> </w:t>
      </w:r>
      <w:r>
        <w:t>CO2</w:t>
      </w:r>
      <w:r>
        <w:t xml:space="preserve"> eller pulver.</w:t>
      </w:r>
    </w:p>
    <w:p w:rsidR="00A500D3" w:rsidRDefault="00A500D3" w:rsidP="002D180B"/>
    <w:p w:rsidR="00A500D3" w:rsidRDefault="00A500D3" w:rsidP="00A500D3">
      <w:r w:rsidRPr="00A500D3">
        <w:t>Uegnete</w:t>
      </w:r>
      <w:r>
        <w:tab/>
      </w:r>
      <w:r>
        <w:tab/>
      </w:r>
      <w:r>
        <w:t>Vann i hardt jet, skum med farlige stoffer.</w:t>
      </w:r>
    </w:p>
    <w:p w:rsidR="00A500D3" w:rsidRDefault="00A500D3" w:rsidP="00A500D3"/>
    <w:p w:rsidR="00A500D3" w:rsidRDefault="00A500D3" w:rsidP="00A500D3">
      <w:r w:rsidRPr="00A500D3">
        <w:t>5.2 Særlige farer knyttet til stoffet eller stoffblandingen</w:t>
      </w:r>
    </w:p>
    <w:p w:rsidR="00A500D3" w:rsidRDefault="00A500D3" w:rsidP="00A500D3"/>
    <w:p w:rsidR="00023923" w:rsidRDefault="00023923" w:rsidP="00023923">
      <w:r>
        <w:t xml:space="preserve">Spesielle farer ved brannslukking: </w:t>
      </w:r>
    </w:p>
    <w:p w:rsidR="00023923" w:rsidRDefault="00023923" w:rsidP="00023923">
      <w:r>
        <w:t xml:space="preserve">I en brann eller ved oppvarming, vil det oppstå en trykkøkning, og beholderen kan revne. komplett </w:t>
      </w:r>
    </w:p>
    <w:p w:rsidR="00A500D3" w:rsidRDefault="00023923" w:rsidP="00023923">
      <w:r>
        <w:t>forbrenning i overskudd av oksygen for å danne karbondioksyd og vann. Delvis forbrenning produserer karbonmonoksid</w:t>
      </w:r>
      <w:r>
        <w:t>.</w:t>
      </w:r>
    </w:p>
    <w:p w:rsidR="00023923" w:rsidRDefault="00023923" w:rsidP="00023923">
      <w:pPr>
        <w:shd w:val="clear" w:color="auto" w:fill="FFFFFF" w:themeFill="background1"/>
      </w:pPr>
    </w:p>
    <w:p w:rsidR="008B2EEB" w:rsidRDefault="008B2EEB" w:rsidP="008B2EEB">
      <w:pPr>
        <w:shd w:val="clear" w:color="auto" w:fill="FFFFFF" w:themeFill="background1"/>
      </w:pPr>
      <w:r>
        <w:t xml:space="preserve">5.3 Råd for brannmenn: </w:t>
      </w:r>
    </w:p>
    <w:p w:rsidR="008B2EEB" w:rsidRDefault="008B2EEB" w:rsidP="008B2EEB">
      <w:pPr>
        <w:shd w:val="clear" w:color="auto" w:fill="FFFFFF" w:themeFill="background1"/>
      </w:pPr>
    </w:p>
    <w:p w:rsidR="008B2EEB" w:rsidRDefault="008B2EEB" w:rsidP="008B2EEB">
      <w:pPr>
        <w:shd w:val="clear" w:color="auto" w:fill="FFFFFF" w:themeFill="background1"/>
      </w:pPr>
      <w:r>
        <w:t xml:space="preserve">Spesielt beskyttelsesutstyr for brannmenn: Under brann fullt verneutstyr inklusiv åndedrettsvern. </w:t>
      </w:r>
    </w:p>
    <w:p w:rsidR="008B2EEB" w:rsidRDefault="008B2EEB" w:rsidP="008B2EEB">
      <w:pPr>
        <w:shd w:val="clear" w:color="auto" w:fill="FFFFFF" w:themeFill="background1"/>
      </w:pPr>
      <w:r>
        <w:t xml:space="preserve">Tilleggsinformasjon: Unngå innånding av røyk. Evakuer nærområdet. Eksponerte beholdere nedkjølt med vann. Fjern andre </w:t>
      </w:r>
    </w:p>
    <w:p w:rsidR="00023923" w:rsidRDefault="008B2EEB" w:rsidP="008B2EEB">
      <w:pPr>
        <w:shd w:val="clear" w:color="auto" w:fill="FFFFFF" w:themeFill="background1"/>
      </w:pPr>
      <w:r>
        <w:t>brennbart materiale. Slukk bare mindre brann på egenhånd. Unngå slokkevann når vann eller kloakk. Iverksette tiltak for å avhende avrenning fra brannslukking.</w:t>
      </w:r>
    </w:p>
    <w:p w:rsidR="00DB27FB" w:rsidRDefault="00DB27FB" w:rsidP="008B2EEB">
      <w:pPr>
        <w:shd w:val="clear" w:color="auto" w:fill="FFFFFF" w:themeFill="background1"/>
      </w:pPr>
    </w:p>
    <w:p w:rsidR="00DB27FB" w:rsidRDefault="00DB27FB" w:rsidP="008B2EEB">
      <w:pPr>
        <w:shd w:val="clear" w:color="auto" w:fill="FFFFFF" w:themeFill="background1"/>
      </w:pPr>
    </w:p>
    <w:p w:rsidR="00023923" w:rsidRDefault="00023923" w:rsidP="00023923"/>
    <w:p w:rsidR="003D154D" w:rsidRDefault="003D154D" w:rsidP="003D154D">
      <w:pPr>
        <w:pStyle w:val="Rubrik1"/>
        <w:ind w:left="56"/>
      </w:pPr>
      <w:r>
        <w:t>Avsnitt 6</w:t>
      </w:r>
      <w:r>
        <w:t xml:space="preserve">. </w:t>
      </w:r>
      <w:r>
        <w:t>Tiltak ved utilsiktet utslipp</w:t>
      </w:r>
    </w:p>
    <w:p w:rsidR="00A500D3" w:rsidRDefault="00A500D3" w:rsidP="00023923">
      <w:pPr>
        <w:shd w:val="clear" w:color="auto" w:fill="FFFFFF" w:themeFill="background1"/>
      </w:pPr>
    </w:p>
    <w:tbl>
      <w:tblPr>
        <w:tblStyle w:val="Tabellrutnt"/>
        <w:tblW w:w="0" w:type="auto"/>
        <w:tblInd w:w="34" w:type="dxa"/>
        <w:tblLook w:val="04A0" w:firstRow="1" w:lastRow="0" w:firstColumn="1" w:lastColumn="0" w:noHBand="0" w:noVBand="1"/>
      </w:tblPr>
      <w:tblGrid>
        <w:gridCol w:w="3561"/>
        <w:gridCol w:w="3561"/>
      </w:tblGrid>
      <w:tr w:rsidR="003D154D" w:rsidTr="003D154D">
        <w:tc>
          <w:tcPr>
            <w:tcW w:w="3561" w:type="dxa"/>
          </w:tcPr>
          <w:p w:rsidR="003D154D" w:rsidRDefault="003D154D" w:rsidP="003D154D">
            <w:pPr>
              <w:shd w:val="clear" w:color="auto" w:fill="FFFFFF" w:themeFill="background1"/>
            </w:pPr>
            <w:r w:rsidRPr="003D154D">
              <w:t>6.1 Personlige forsiktighetsregler, personlig verneutstyr og nødrutiner</w:t>
            </w:r>
          </w:p>
        </w:tc>
        <w:tc>
          <w:tcPr>
            <w:tcW w:w="3561" w:type="dxa"/>
          </w:tcPr>
          <w:p w:rsidR="003D154D" w:rsidRDefault="003D154D" w:rsidP="003D154D">
            <w:pPr>
              <w:shd w:val="clear" w:color="auto" w:fill="FFFFFF" w:themeFill="background1"/>
            </w:pPr>
            <w:r w:rsidRPr="003D154D">
              <w:t>Bruk personlig verneutstyr som anbefalt i punkt 8.</w:t>
            </w:r>
          </w:p>
          <w:p w:rsidR="003D154D" w:rsidRDefault="003D154D" w:rsidP="00023923">
            <w:pPr>
              <w:ind w:left="0" w:firstLine="0"/>
            </w:pPr>
          </w:p>
        </w:tc>
      </w:tr>
      <w:tr w:rsidR="003D154D" w:rsidTr="003D154D">
        <w:tc>
          <w:tcPr>
            <w:tcW w:w="3561" w:type="dxa"/>
          </w:tcPr>
          <w:p w:rsidR="003D154D" w:rsidRDefault="003D154D" w:rsidP="003D154D">
            <w:pPr>
              <w:shd w:val="clear" w:color="auto" w:fill="FFFFFF" w:themeFill="background1"/>
            </w:pPr>
            <w:r>
              <w:t>6.2 Forholdsregler for vern av miljø</w:t>
            </w:r>
          </w:p>
        </w:tc>
        <w:tc>
          <w:tcPr>
            <w:tcW w:w="3561" w:type="dxa"/>
          </w:tcPr>
          <w:p w:rsidR="003D154D" w:rsidRDefault="003D154D" w:rsidP="003D154D">
            <w:pPr>
              <w:shd w:val="clear" w:color="auto" w:fill="FFFFFF" w:themeFill="background1"/>
            </w:pPr>
            <w:r>
              <w:t>Unngå spredning av utslipp av materialet, avrenning og kontakt med jord, vassdrag,</w:t>
            </w:r>
          </w:p>
          <w:p w:rsidR="003D154D" w:rsidRDefault="003D154D" w:rsidP="003D154D">
            <w:pPr>
              <w:shd w:val="clear" w:color="auto" w:fill="FFFFFF" w:themeFill="background1"/>
            </w:pPr>
            <w:r>
              <w:t xml:space="preserve">avløp og kloakk. Send informasjon til relevante myndigheter dersom produktet har </w:t>
            </w:r>
          </w:p>
          <w:p w:rsidR="003D154D" w:rsidRDefault="003D154D" w:rsidP="003D154D">
            <w:pPr>
              <w:shd w:val="clear" w:color="auto" w:fill="FFFFFF" w:themeFill="background1"/>
            </w:pPr>
            <w:r>
              <w:t>forårsaket miljøforurensning (kloakk, vannsystemer, jord eller luft).</w:t>
            </w:r>
          </w:p>
          <w:p w:rsidR="003D154D" w:rsidRDefault="003D154D" w:rsidP="00023923">
            <w:pPr>
              <w:ind w:left="0" w:firstLine="0"/>
            </w:pPr>
          </w:p>
        </w:tc>
      </w:tr>
      <w:tr w:rsidR="003D154D" w:rsidTr="003D154D">
        <w:tc>
          <w:tcPr>
            <w:tcW w:w="3561" w:type="dxa"/>
          </w:tcPr>
          <w:p w:rsidR="003D154D" w:rsidRDefault="003D154D" w:rsidP="00023923">
            <w:pPr>
              <w:ind w:left="0" w:firstLine="0"/>
            </w:pPr>
            <w:r w:rsidRPr="003D154D">
              <w:t>6.3 Metoder og materialer for begrensning og opprenskning</w:t>
            </w:r>
          </w:p>
        </w:tc>
        <w:tc>
          <w:tcPr>
            <w:tcW w:w="3561" w:type="dxa"/>
          </w:tcPr>
          <w:p w:rsidR="003D154D" w:rsidRDefault="003D154D" w:rsidP="003D154D">
            <w:pPr>
              <w:ind w:left="0" w:firstLine="0"/>
            </w:pPr>
            <w:r>
              <w:t xml:space="preserve">Utslippene er hensiktsmessig opp med f.eks vermikulitt, tørr sand eller annet inert materiale. </w:t>
            </w:r>
          </w:p>
          <w:p w:rsidR="003D154D" w:rsidRDefault="003D154D" w:rsidP="003D154D">
            <w:pPr>
              <w:ind w:left="0" w:firstLine="0"/>
            </w:pPr>
            <w:r>
              <w:t>Oppsamlet materiale er avfall.</w:t>
            </w:r>
          </w:p>
        </w:tc>
      </w:tr>
      <w:tr w:rsidR="003D154D" w:rsidTr="003D154D">
        <w:tc>
          <w:tcPr>
            <w:tcW w:w="3561" w:type="dxa"/>
          </w:tcPr>
          <w:p w:rsidR="003D154D" w:rsidRDefault="003D154D" w:rsidP="003D154D">
            <w:pPr>
              <w:tabs>
                <w:tab w:val="left" w:pos="2112"/>
              </w:tabs>
              <w:ind w:left="0" w:firstLine="0"/>
            </w:pPr>
            <w:r>
              <w:t>6.4 Referanse til andre avsnitt</w:t>
            </w:r>
          </w:p>
        </w:tc>
        <w:tc>
          <w:tcPr>
            <w:tcW w:w="3561" w:type="dxa"/>
          </w:tcPr>
          <w:p w:rsidR="003D154D" w:rsidRDefault="003D154D" w:rsidP="003D154D">
            <w:pPr>
              <w:ind w:left="0" w:firstLine="0"/>
            </w:pPr>
            <w:r>
              <w:t>Kontakt i nødstilfeller (se punkt 1), Personlig verneutstyr (se punkt 8), Avfallshåndtering (se avsnitt 13).</w:t>
            </w:r>
          </w:p>
        </w:tc>
      </w:tr>
    </w:tbl>
    <w:p w:rsidR="003D154D" w:rsidRDefault="003D154D" w:rsidP="00023923">
      <w:pPr>
        <w:shd w:val="clear" w:color="auto" w:fill="FFFFFF" w:themeFill="background1"/>
      </w:pPr>
    </w:p>
    <w:p w:rsidR="00A500D3" w:rsidRDefault="00A500D3" w:rsidP="00A500D3">
      <w:pPr>
        <w:shd w:val="clear" w:color="auto" w:fill="FFFFFF" w:themeFill="background1"/>
      </w:pPr>
    </w:p>
    <w:p w:rsidR="00A500D3" w:rsidRDefault="00A500D3" w:rsidP="00A500D3">
      <w:pPr>
        <w:shd w:val="clear" w:color="auto" w:fill="FFFFFF" w:themeFill="background1"/>
      </w:pPr>
    </w:p>
    <w:p w:rsidR="00DB27FB" w:rsidRDefault="00DB27FB" w:rsidP="00DB27FB">
      <w:pPr>
        <w:pStyle w:val="Rubrik1"/>
        <w:ind w:left="56"/>
      </w:pPr>
      <w:r>
        <w:t>Avsnitt 7</w:t>
      </w:r>
      <w:r>
        <w:t xml:space="preserve">. </w:t>
      </w:r>
      <w:r w:rsidRPr="00DB27FB">
        <w:t>Håndtering og lagring</w:t>
      </w:r>
    </w:p>
    <w:p w:rsidR="00A500D3" w:rsidRDefault="00A500D3" w:rsidP="00A500D3"/>
    <w:p w:rsidR="00DB27FB" w:rsidRDefault="00DB27FB" w:rsidP="00A500D3">
      <w:r w:rsidRPr="00DB27FB">
        <w:t>7.1 Forsiktighetsregler for sikker håndtering</w:t>
      </w:r>
      <w:r w:rsidRPr="00DB27FB">
        <w:cr/>
      </w:r>
    </w:p>
    <w:p w:rsidR="00A500D3" w:rsidRDefault="00DB27FB" w:rsidP="00DB27FB">
      <w:r>
        <w:t>Sikker håndtering</w:t>
      </w:r>
      <w:r>
        <w:tab/>
      </w:r>
      <w:r>
        <w:tab/>
      </w:r>
      <w:r>
        <w:tab/>
      </w:r>
      <w:r>
        <w:t>For personlig beskyttelse, se i punkt 8.</w:t>
      </w:r>
    </w:p>
    <w:p w:rsidR="00DB27FB" w:rsidRDefault="00DB27FB" w:rsidP="00DB27FB"/>
    <w:p w:rsidR="00DB27FB" w:rsidRDefault="00DB27FB" w:rsidP="00DB27FB">
      <w:pPr>
        <w:ind w:left="3912" w:hanging="3888"/>
      </w:pPr>
      <w:r>
        <w:t>Yrkeshygiene</w:t>
      </w:r>
      <w:r>
        <w:tab/>
      </w:r>
      <w:r>
        <w:t>Observere standard industriell hygienepraksis for håndtering v kjemiske stoffer. Nøddusj og øyenspyling bør være på arbeidsplassen.</w:t>
      </w:r>
    </w:p>
    <w:p w:rsidR="004F331F" w:rsidRDefault="004F331F" w:rsidP="002D180B"/>
    <w:p w:rsidR="00DB27FB" w:rsidRDefault="00DB27FB" w:rsidP="002D180B">
      <w:r w:rsidRPr="00DB27FB">
        <w:t>7.2 Vilkår for sikker lagring, herunder eventuelle uforenligheter</w:t>
      </w:r>
      <w:r w:rsidRPr="00DB27FB">
        <w:cr/>
      </w:r>
    </w:p>
    <w:p w:rsidR="00DB27FB" w:rsidRDefault="00DB27FB" w:rsidP="00DB27FB">
      <w:r>
        <w:t xml:space="preserve">Krav til lagringsområder og containere: </w:t>
      </w:r>
    </w:p>
    <w:p w:rsidR="00DB27FB" w:rsidRDefault="00DB27FB" w:rsidP="00DB27FB">
      <w:r>
        <w:t>Lagres ved romstemperatur i tørt, godt ventilert plass. Hold beholderne tett lukket. Beskyttes mot direkte sollys. Oppbevares utilgjengelig for barn.</w:t>
      </w:r>
    </w:p>
    <w:p w:rsidR="00DB27FB" w:rsidRDefault="00DB27FB" w:rsidP="00DB27FB"/>
    <w:p w:rsidR="00DB27FB" w:rsidRDefault="00DB27FB" w:rsidP="00DB27FB">
      <w:r>
        <w:t xml:space="preserve">Råd angående beskyttelse mot brann og eksplosjon: </w:t>
      </w:r>
    </w:p>
    <w:p w:rsidR="00DB27FB" w:rsidRDefault="00DB27FB" w:rsidP="00DB27FB">
      <w:r>
        <w:t>Produktet er ikke brannfarlig.</w:t>
      </w:r>
    </w:p>
    <w:p w:rsidR="00DB27FB" w:rsidRDefault="00DB27FB" w:rsidP="00DB27FB"/>
    <w:p w:rsidR="00DB27FB" w:rsidRDefault="00DB27FB" w:rsidP="00DB27FB">
      <w:r>
        <w:t xml:space="preserve">Ytterligere informasjon om lagringsforhold: </w:t>
      </w:r>
    </w:p>
    <w:p w:rsidR="00DB27FB" w:rsidRDefault="00DB27FB" w:rsidP="00DB27FB">
      <w:r>
        <w:t>Ingen informasjon tilgjengelig.</w:t>
      </w:r>
    </w:p>
    <w:p w:rsidR="00DB27FB" w:rsidRDefault="00DB27FB" w:rsidP="00DB27FB"/>
    <w:p w:rsidR="00DB27FB" w:rsidRDefault="00DB27FB" w:rsidP="00DB27FB">
      <w:r w:rsidRPr="00DB27FB">
        <w:t>7.3 Spesifikk sluttbruk</w:t>
      </w:r>
    </w:p>
    <w:p w:rsidR="00DB27FB" w:rsidRDefault="00DB27FB" w:rsidP="00DB27FB"/>
    <w:p w:rsidR="00DB27FB" w:rsidRDefault="00DB27FB" w:rsidP="00DB27FB">
      <w:r>
        <w:t xml:space="preserve">Spesifikk bruk: </w:t>
      </w:r>
      <w:r w:rsidR="00297F91" w:rsidRPr="00297F91">
        <w:t>Ingen informasjon tilgjengelig.</w:t>
      </w:r>
    </w:p>
    <w:p w:rsidR="00ED4678" w:rsidRDefault="00ED4678" w:rsidP="00ED4678">
      <w:pPr>
        <w:pStyle w:val="Rubrik1"/>
        <w:ind w:left="56"/>
      </w:pPr>
      <w:r>
        <w:lastRenderedPageBreak/>
        <w:t xml:space="preserve">Avsnitt </w:t>
      </w:r>
      <w:r>
        <w:t>8</w:t>
      </w:r>
      <w:r>
        <w:t xml:space="preserve">. </w:t>
      </w:r>
      <w:r w:rsidRPr="00ED4678">
        <w:t>Eksponeringskontroll/personbeskyttelse</w:t>
      </w:r>
    </w:p>
    <w:p w:rsidR="00ED4678" w:rsidRDefault="00ED4678" w:rsidP="00DB27FB"/>
    <w:p w:rsidR="00ED4678" w:rsidRDefault="00ED4678" w:rsidP="00DB27FB">
      <w:r w:rsidRPr="00ED4678">
        <w:t>8.1 Kontrollparametere</w:t>
      </w:r>
      <w:r>
        <w:tab/>
      </w:r>
      <w:r>
        <w:tab/>
      </w:r>
      <w:r>
        <w:tab/>
      </w:r>
      <w:r w:rsidRPr="00ED4678">
        <w:t>Ingen Kontrollparametere</w:t>
      </w:r>
      <w:r>
        <w:t>.</w:t>
      </w:r>
    </w:p>
    <w:p w:rsidR="00ED4678" w:rsidRDefault="00ED4678" w:rsidP="00DB27FB"/>
    <w:p w:rsidR="00ED4678" w:rsidRDefault="00ED4678" w:rsidP="00DB27FB">
      <w:r>
        <w:t xml:space="preserve">8.2 </w:t>
      </w:r>
      <w:r w:rsidRPr="00ED4678">
        <w:t>Eksponeringskontroll</w:t>
      </w:r>
      <w:r w:rsidRPr="00ED4678">
        <w:cr/>
      </w:r>
    </w:p>
    <w:p w:rsidR="00ED4678" w:rsidRDefault="00ED4678" w:rsidP="00ED4678">
      <w:r>
        <w:t xml:space="preserve">Tekniske tiltak: </w:t>
      </w:r>
    </w:p>
    <w:p w:rsidR="00ED4678" w:rsidRDefault="00ED4678" w:rsidP="00ED4678">
      <w:r>
        <w:t>Se vernetiltakene som er oppført i kapittel 7 og 8.</w:t>
      </w:r>
    </w:p>
    <w:p w:rsidR="00ED4678" w:rsidRDefault="00ED4678" w:rsidP="00ED4678"/>
    <w:p w:rsidR="00ED4678" w:rsidRDefault="00ED4678" w:rsidP="00ED4678">
      <w:r>
        <w:t xml:space="preserve">Personlig verneutstyr: </w:t>
      </w:r>
    </w:p>
    <w:p w:rsidR="00ED4678" w:rsidRDefault="00ED4678" w:rsidP="00ED4678">
      <w:r>
        <w:t xml:space="preserve">Åndedrettsvern: Ikke nødvendig. </w:t>
      </w:r>
    </w:p>
    <w:p w:rsidR="00ED4678" w:rsidRDefault="00ED4678" w:rsidP="00ED4678">
      <w:r>
        <w:t xml:space="preserve">Håndvern: passende hanske testet til EN374. </w:t>
      </w:r>
    </w:p>
    <w:p w:rsidR="00ED4678" w:rsidRDefault="00ED4678" w:rsidP="00ED4678">
      <w:r>
        <w:t xml:space="preserve">Øyevern: Ved direkte kontakt eller sprut vernebriller eller ansiktsskjerm som brukes. </w:t>
      </w:r>
    </w:p>
    <w:p w:rsidR="00ED4678" w:rsidRDefault="00ED4678" w:rsidP="00ED4678">
      <w:r>
        <w:t>Hud og kroppsbeskyttelse: Ikke nødvendig</w:t>
      </w:r>
    </w:p>
    <w:p w:rsidR="00ED4678" w:rsidRDefault="00ED4678" w:rsidP="00DB27FB"/>
    <w:p w:rsidR="00ED4678" w:rsidRDefault="00ED4678" w:rsidP="00ED4678">
      <w:r>
        <w:t xml:space="preserve">Miljøeksponering: </w:t>
      </w:r>
    </w:p>
    <w:p w:rsidR="00ED4678" w:rsidRDefault="00ED4678" w:rsidP="00ED4678">
      <w:r>
        <w:t>Spyl ikke til overflatevann eller sanitær avløpssystem.</w:t>
      </w:r>
    </w:p>
    <w:p w:rsidR="000C192E" w:rsidRDefault="000C192E" w:rsidP="00ED4678"/>
    <w:p w:rsidR="000C192E" w:rsidRDefault="000C192E" w:rsidP="000C192E">
      <w:pPr>
        <w:pStyle w:val="Rubrik1"/>
        <w:ind w:left="56"/>
      </w:pPr>
      <w:r>
        <w:t xml:space="preserve">Avsnitt </w:t>
      </w:r>
      <w:r>
        <w:t>9</w:t>
      </w:r>
      <w:r>
        <w:t xml:space="preserve">. </w:t>
      </w:r>
      <w:r w:rsidRPr="000C192E">
        <w:t>Fysiske og kjemiske egenskaper</w:t>
      </w:r>
    </w:p>
    <w:p w:rsidR="000C192E" w:rsidRDefault="000C192E" w:rsidP="00ED4678"/>
    <w:p w:rsidR="00ED4678" w:rsidRDefault="000C192E" w:rsidP="00DB27FB">
      <w:r w:rsidRPr="000C192E">
        <w:t>9.1 Informasjon om grunnleggende fysiske og kjemiske egenskaper</w:t>
      </w:r>
    </w:p>
    <w:p w:rsidR="000C192E" w:rsidRDefault="000C192E" w:rsidP="00DB27FB"/>
    <w:p w:rsidR="000C192E" w:rsidRDefault="00372CC7" w:rsidP="00DB27FB">
      <w:r w:rsidRPr="00372CC7">
        <w:t>Fysisk tilstand</w:t>
      </w:r>
      <w:r>
        <w:tab/>
      </w:r>
      <w:r>
        <w:tab/>
        <w:t>Væske</w:t>
      </w:r>
    </w:p>
    <w:p w:rsidR="00372CC7" w:rsidRDefault="00372CC7" w:rsidP="00DB27FB">
      <w:r w:rsidRPr="00372CC7">
        <w:t>Utseende</w:t>
      </w:r>
      <w:r>
        <w:tab/>
      </w:r>
      <w:r>
        <w:tab/>
        <w:t>Klar</w:t>
      </w:r>
    </w:p>
    <w:p w:rsidR="00372CC7" w:rsidRDefault="00372CC7" w:rsidP="00DB27FB">
      <w:r w:rsidRPr="00372CC7">
        <w:t>Farge</w:t>
      </w:r>
      <w:r>
        <w:tab/>
      </w:r>
      <w:r>
        <w:tab/>
        <w:t>Grønn</w:t>
      </w:r>
    </w:p>
    <w:p w:rsidR="00372CC7" w:rsidRDefault="00372CC7" w:rsidP="00DB27FB">
      <w:r w:rsidRPr="00372CC7">
        <w:t>Lukt</w:t>
      </w:r>
      <w:r>
        <w:tab/>
      </w:r>
      <w:r>
        <w:tab/>
        <w:t>S</w:t>
      </w:r>
      <w:r w:rsidRPr="00372CC7">
        <w:t>øtlig</w:t>
      </w:r>
    </w:p>
    <w:p w:rsidR="00372CC7" w:rsidRDefault="00372CC7" w:rsidP="00372CC7">
      <w:pPr>
        <w:shd w:val="clear" w:color="auto" w:fill="FFFFFF" w:themeFill="background1"/>
      </w:pPr>
      <w:r>
        <w:t>pH</w:t>
      </w:r>
      <w:r>
        <w:tab/>
      </w:r>
      <w:r>
        <w:tab/>
        <w:t>ca 7</w:t>
      </w:r>
    </w:p>
    <w:p w:rsidR="00372CC7" w:rsidRDefault="00372CC7" w:rsidP="00372CC7">
      <w:pPr>
        <w:shd w:val="clear" w:color="auto" w:fill="FFFFFF" w:themeFill="background1"/>
      </w:pPr>
      <w:r w:rsidRPr="00372CC7">
        <w:t>Smeltepunkt/frysepunkt</w:t>
      </w:r>
      <w:r>
        <w:tab/>
      </w:r>
      <w:r>
        <w:tab/>
      </w:r>
      <w:r w:rsidRPr="00372CC7">
        <w:t>&lt; -36 °C</w:t>
      </w:r>
    </w:p>
    <w:p w:rsidR="00372CC7" w:rsidRDefault="00372CC7" w:rsidP="00372CC7">
      <w:pPr>
        <w:shd w:val="clear" w:color="auto" w:fill="FFFFFF" w:themeFill="background1"/>
      </w:pPr>
      <w:r>
        <w:t>Utgangskokepunkt og -</w:t>
      </w:r>
    </w:p>
    <w:p w:rsidR="00372CC7" w:rsidRDefault="00372CC7" w:rsidP="00372CC7">
      <w:pPr>
        <w:shd w:val="clear" w:color="auto" w:fill="FFFFFF" w:themeFill="background1"/>
      </w:pPr>
      <w:r>
        <w:t>K</w:t>
      </w:r>
      <w:r>
        <w:t>okeområde</w:t>
      </w:r>
      <w:r>
        <w:tab/>
      </w:r>
      <w:r>
        <w:tab/>
      </w:r>
      <w:r w:rsidRPr="00372CC7">
        <w:t>&gt; 155 °C</w:t>
      </w:r>
    </w:p>
    <w:p w:rsidR="00372CC7" w:rsidRDefault="00372CC7" w:rsidP="00372CC7">
      <w:pPr>
        <w:shd w:val="clear" w:color="auto" w:fill="FFFFFF" w:themeFill="background1"/>
      </w:pPr>
      <w:r>
        <w:t>Flammepunkt</w:t>
      </w:r>
      <w:r>
        <w:tab/>
      </w:r>
      <w:r>
        <w:tab/>
      </w:r>
      <w:r w:rsidRPr="00372CC7">
        <w:t>&gt; 100 °C</w:t>
      </w:r>
    </w:p>
    <w:p w:rsidR="00372CC7" w:rsidRDefault="00372CC7" w:rsidP="00372CC7">
      <w:pPr>
        <w:shd w:val="clear" w:color="auto" w:fill="FFFFFF" w:themeFill="background1"/>
      </w:pPr>
      <w:r w:rsidRPr="00372CC7">
        <w:t>Fordamping</w:t>
      </w:r>
      <w:r>
        <w:tab/>
      </w:r>
      <w:r>
        <w:tab/>
      </w:r>
      <w:r w:rsidRPr="00372CC7">
        <w:t>Ingen data tilgjengelig</w:t>
      </w:r>
    </w:p>
    <w:p w:rsidR="00372CC7" w:rsidRDefault="00372CC7" w:rsidP="00372CC7">
      <w:pPr>
        <w:shd w:val="clear" w:color="auto" w:fill="FFFFFF" w:themeFill="background1"/>
      </w:pPr>
      <w:r w:rsidRPr="00372CC7">
        <w:t>Antennelighet (fast stoff, gass)</w:t>
      </w:r>
      <w:r>
        <w:tab/>
      </w:r>
      <w:r w:rsidRPr="00372CC7">
        <w:t>Ingen data tilgjengelig</w:t>
      </w:r>
    </w:p>
    <w:p w:rsidR="00372CC7" w:rsidRDefault="00372CC7" w:rsidP="00372CC7">
      <w:pPr>
        <w:shd w:val="clear" w:color="auto" w:fill="FFFFFF" w:themeFill="background1"/>
      </w:pPr>
      <w:r>
        <w:t xml:space="preserve">Øvre/nedre brennbarhets- eller </w:t>
      </w:r>
    </w:p>
    <w:p w:rsidR="00372CC7" w:rsidRDefault="00372CC7" w:rsidP="00372CC7">
      <w:pPr>
        <w:shd w:val="clear" w:color="auto" w:fill="FFFFFF" w:themeFill="background1"/>
      </w:pPr>
      <w:r>
        <w:t>E</w:t>
      </w:r>
      <w:r>
        <w:t>ksplosjonsgrenser</w:t>
      </w:r>
      <w:r>
        <w:tab/>
      </w:r>
      <w:r>
        <w:tab/>
        <w:t>2.6-12.6 %</w:t>
      </w:r>
    </w:p>
    <w:p w:rsidR="00372CC7" w:rsidRDefault="00372CC7" w:rsidP="00372CC7">
      <w:pPr>
        <w:shd w:val="clear" w:color="auto" w:fill="FFFFFF" w:themeFill="background1"/>
      </w:pPr>
      <w:r w:rsidRPr="00372CC7">
        <w:t>Damptrykk</w:t>
      </w:r>
      <w:r>
        <w:tab/>
      </w:r>
      <w:r>
        <w:tab/>
      </w:r>
      <w:r w:rsidRPr="00372CC7">
        <w:t>0.1 kPa (20 °C)</w:t>
      </w:r>
      <w:r>
        <w:tab/>
      </w:r>
    </w:p>
    <w:p w:rsidR="00372CC7" w:rsidRDefault="00372CC7" w:rsidP="00372CC7">
      <w:pPr>
        <w:shd w:val="clear" w:color="auto" w:fill="FFFFFF" w:themeFill="background1"/>
      </w:pPr>
      <w:r w:rsidRPr="00372CC7">
        <w:t>Damptetthet</w:t>
      </w:r>
      <w:r>
        <w:tab/>
      </w:r>
      <w:r>
        <w:tab/>
      </w:r>
      <w:r w:rsidRPr="00372CC7">
        <w:t xml:space="preserve">2.5 </w:t>
      </w:r>
    </w:p>
    <w:p w:rsidR="00372CC7" w:rsidRDefault="00372CC7" w:rsidP="00372CC7">
      <w:pPr>
        <w:shd w:val="clear" w:color="auto" w:fill="FFFFFF" w:themeFill="background1"/>
      </w:pPr>
      <w:r w:rsidRPr="00372CC7">
        <w:t xml:space="preserve">Relativ tetthet </w:t>
      </w:r>
      <w:r>
        <w:tab/>
      </w:r>
      <w:r>
        <w:tab/>
      </w:r>
      <w:r w:rsidRPr="00372CC7">
        <w:t xml:space="preserve">1.050 g/cm3 </w:t>
      </w:r>
    </w:p>
    <w:p w:rsidR="00372CC7" w:rsidRDefault="00372CC7" w:rsidP="00372CC7">
      <w:pPr>
        <w:shd w:val="clear" w:color="auto" w:fill="FFFFFF" w:themeFill="background1"/>
      </w:pPr>
      <w:r w:rsidRPr="00372CC7">
        <w:t xml:space="preserve">Løselighet(er) </w:t>
      </w:r>
      <w:r>
        <w:tab/>
      </w:r>
      <w:r>
        <w:tab/>
      </w:r>
      <w:r w:rsidRPr="00372CC7">
        <w:t>Lett løselig i vann</w:t>
      </w:r>
    </w:p>
    <w:p w:rsidR="00372CC7" w:rsidRDefault="00372CC7" w:rsidP="00372CC7">
      <w:pPr>
        <w:shd w:val="clear" w:color="auto" w:fill="FFFFFF" w:themeFill="background1"/>
      </w:pPr>
      <w:r>
        <w:t>Fordelingskoeffisient oktanol/</w:t>
      </w:r>
      <w:r>
        <w:t>v</w:t>
      </w:r>
      <w:r>
        <w:t>ann</w:t>
      </w:r>
      <w:r>
        <w:tab/>
        <w:t>-1</w:t>
      </w:r>
    </w:p>
    <w:p w:rsidR="00372CC7" w:rsidRDefault="00372CC7" w:rsidP="00372CC7">
      <w:pPr>
        <w:shd w:val="clear" w:color="auto" w:fill="FFFFFF" w:themeFill="background1"/>
      </w:pPr>
      <w:r>
        <w:t>Selvantennelsestemperatur</w:t>
      </w:r>
      <w:r>
        <w:tab/>
      </w:r>
      <w:r w:rsidRPr="00372CC7">
        <w:t>371 °C</w:t>
      </w:r>
    </w:p>
    <w:p w:rsidR="00372CC7" w:rsidRDefault="00372CC7" w:rsidP="00372CC7">
      <w:pPr>
        <w:shd w:val="clear" w:color="auto" w:fill="FFFFFF" w:themeFill="background1"/>
      </w:pPr>
      <w:r w:rsidRPr="00372CC7">
        <w:t>Dekomponeringstemperatur</w:t>
      </w:r>
      <w:r>
        <w:tab/>
      </w:r>
      <w:r w:rsidRPr="00372CC7">
        <w:t>Ingen data tilgjengelig</w:t>
      </w:r>
    </w:p>
    <w:p w:rsidR="00372CC7" w:rsidRDefault="00372CC7" w:rsidP="00372CC7">
      <w:pPr>
        <w:shd w:val="clear" w:color="auto" w:fill="FFFFFF" w:themeFill="background1"/>
      </w:pPr>
      <w:r w:rsidRPr="00372CC7">
        <w:t>Viskositet</w:t>
      </w:r>
      <w:r>
        <w:tab/>
      </w:r>
      <w:r>
        <w:tab/>
      </w:r>
      <w:r w:rsidRPr="00372CC7">
        <w:t>Ingen data tilgjengelig</w:t>
      </w:r>
    </w:p>
    <w:p w:rsidR="00372CC7" w:rsidRDefault="00372CC7" w:rsidP="00372CC7">
      <w:pPr>
        <w:shd w:val="clear" w:color="auto" w:fill="FFFFFF" w:themeFill="background1"/>
      </w:pPr>
      <w:r w:rsidRPr="00372CC7">
        <w:t xml:space="preserve">Eksplosjonsegenskaper </w:t>
      </w:r>
      <w:r>
        <w:tab/>
      </w:r>
      <w:r w:rsidRPr="00372CC7">
        <w:t>Ingen data tilgjengelig</w:t>
      </w:r>
    </w:p>
    <w:p w:rsidR="00372CC7" w:rsidRDefault="00372CC7" w:rsidP="00372CC7">
      <w:pPr>
        <w:shd w:val="clear" w:color="auto" w:fill="FFFFFF" w:themeFill="background1"/>
      </w:pPr>
      <w:r w:rsidRPr="00372CC7">
        <w:t>Oksidasjonsegenskaper</w:t>
      </w:r>
      <w:r>
        <w:tab/>
      </w:r>
      <w:r w:rsidRPr="00372CC7">
        <w:t>Ingen data tilgjengelig</w:t>
      </w:r>
    </w:p>
    <w:p w:rsidR="00372CC7" w:rsidRDefault="00372CC7" w:rsidP="00372CC7">
      <w:pPr>
        <w:shd w:val="clear" w:color="auto" w:fill="FFFFFF" w:themeFill="background1"/>
      </w:pPr>
    </w:p>
    <w:p w:rsidR="00372CC7" w:rsidRDefault="00372CC7" w:rsidP="00372CC7">
      <w:pPr>
        <w:shd w:val="clear" w:color="auto" w:fill="FFFFFF" w:themeFill="background1"/>
      </w:pPr>
      <w:r>
        <w:t xml:space="preserve">9.2 Andre opplysninger </w:t>
      </w:r>
      <w:r w:rsidR="007F7437">
        <w:tab/>
      </w:r>
      <w:r w:rsidR="007F7437">
        <w:tab/>
      </w:r>
      <w:r>
        <w:t>Ingen ytterligere informasjon er tilgjengelig</w:t>
      </w:r>
      <w:r>
        <w:tab/>
      </w:r>
      <w:r>
        <w:tab/>
      </w:r>
      <w:r w:rsidRPr="00372CC7">
        <w:t xml:space="preserve"> </w:t>
      </w:r>
      <w:r w:rsidRPr="00372CC7">
        <w:cr/>
      </w:r>
    </w:p>
    <w:p w:rsidR="00800C60" w:rsidRDefault="00800C60" w:rsidP="00800C60"/>
    <w:p w:rsidR="00800C60" w:rsidRDefault="00800C60" w:rsidP="00800C60">
      <w:pPr>
        <w:pStyle w:val="Rubrik1"/>
        <w:ind w:left="56"/>
      </w:pPr>
      <w:r>
        <w:t xml:space="preserve">Avsnitt </w:t>
      </w:r>
      <w:r>
        <w:t>10</w:t>
      </w:r>
      <w:r>
        <w:t xml:space="preserve">. </w:t>
      </w:r>
      <w:r w:rsidRPr="00800C60">
        <w:t>Stabilitet og reaktivitet</w:t>
      </w:r>
    </w:p>
    <w:p w:rsidR="007F7437" w:rsidRDefault="007F7437" w:rsidP="00372CC7">
      <w:pPr>
        <w:shd w:val="clear" w:color="auto" w:fill="FFFFFF" w:themeFill="background1"/>
      </w:pPr>
    </w:p>
    <w:p w:rsidR="007F7437" w:rsidRDefault="00800C60" w:rsidP="00800C60">
      <w:pPr>
        <w:shd w:val="clear" w:color="auto" w:fill="FFFFFF" w:themeFill="background1"/>
      </w:pPr>
      <w:r>
        <w:t>10.1 Reaktivitet</w:t>
      </w:r>
      <w:r>
        <w:tab/>
      </w:r>
      <w:r>
        <w:tab/>
      </w:r>
      <w:r>
        <w:t>Stabil under anbefalte lagringsforhold.</w:t>
      </w:r>
    </w:p>
    <w:p w:rsidR="00800C60" w:rsidRDefault="00800C60" w:rsidP="00800C60">
      <w:pPr>
        <w:shd w:val="clear" w:color="auto" w:fill="FFFFFF" w:themeFill="background1"/>
      </w:pPr>
      <w:r>
        <w:t>10.2 Kjemisk stabilitet</w:t>
      </w:r>
      <w:r>
        <w:tab/>
      </w:r>
      <w:r>
        <w:tab/>
      </w:r>
      <w:r>
        <w:t xml:space="preserve">Stabil ved normale forhold. </w:t>
      </w:r>
    </w:p>
    <w:p w:rsidR="00800C60" w:rsidRDefault="00800C60" w:rsidP="00800C60">
      <w:pPr>
        <w:shd w:val="clear" w:color="auto" w:fill="FFFFFF" w:themeFill="background1"/>
      </w:pPr>
      <w:r>
        <w:t>10.3 M</w:t>
      </w:r>
      <w:r>
        <w:t>ulighet for farlige reaksjoner</w:t>
      </w:r>
      <w:r>
        <w:tab/>
      </w:r>
      <w:r>
        <w:t xml:space="preserve">Ingen kjente. </w:t>
      </w:r>
    </w:p>
    <w:p w:rsidR="00800C60" w:rsidRDefault="00800C60" w:rsidP="00800C60">
      <w:pPr>
        <w:shd w:val="clear" w:color="auto" w:fill="FFFFFF" w:themeFill="background1"/>
      </w:pPr>
      <w:r>
        <w:t>10.4 Forhold som skal unngås</w:t>
      </w:r>
      <w:r>
        <w:tab/>
      </w:r>
      <w:r>
        <w:t>Ingen kjente.</w:t>
      </w:r>
    </w:p>
    <w:p w:rsidR="00800C60" w:rsidRDefault="00800C60" w:rsidP="00800C60">
      <w:pPr>
        <w:shd w:val="clear" w:color="auto" w:fill="FFFFFF" w:themeFill="background1"/>
      </w:pPr>
      <w:r>
        <w:t xml:space="preserve">10.5 </w:t>
      </w:r>
      <w:r w:rsidR="00EE3625" w:rsidRPr="00EE3625">
        <w:t>Uforenlige</w:t>
      </w:r>
      <w:r w:rsidR="00EE3625">
        <w:t xml:space="preserve"> materialer</w:t>
      </w:r>
      <w:r w:rsidR="00EE3625">
        <w:tab/>
      </w:r>
      <w:r>
        <w:t xml:space="preserve">Reagerer med sterke oksidasjonsmidler. </w:t>
      </w:r>
    </w:p>
    <w:p w:rsidR="00800C60" w:rsidRDefault="00800C60" w:rsidP="00800C60">
      <w:pPr>
        <w:shd w:val="clear" w:color="auto" w:fill="FFFFFF" w:themeFill="background1"/>
        <w:ind w:left="2604" w:hanging="2580"/>
      </w:pPr>
      <w:r>
        <w:t>10.6</w:t>
      </w:r>
      <w:r>
        <w:t xml:space="preserve"> Farlige nedbrytningsprodukter</w:t>
      </w:r>
      <w:r>
        <w:tab/>
      </w:r>
      <w:r>
        <w:t>Fullstendig forbrenning i overskudd av oksygen for å danne karbondioksyd og vann. Delvis forbrenning danner karbonmonoksid.</w:t>
      </w:r>
    </w:p>
    <w:p w:rsidR="00800C60" w:rsidRDefault="00800C60" w:rsidP="00800C60">
      <w:pPr>
        <w:shd w:val="clear" w:color="auto" w:fill="FFFFFF" w:themeFill="background1"/>
      </w:pPr>
    </w:p>
    <w:p w:rsidR="00EE3625" w:rsidRDefault="00EE3625" w:rsidP="00EE3625">
      <w:pPr>
        <w:pStyle w:val="Rubrik1"/>
        <w:ind w:left="56"/>
      </w:pPr>
      <w:r>
        <w:t xml:space="preserve">Avsnitt </w:t>
      </w:r>
      <w:r>
        <w:t>11</w:t>
      </w:r>
      <w:r>
        <w:t xml:space="preserve">. </w:t>
      </w:r>
      <w:r w:rsidRPr="00EE3625">
        <w:t>Toksikologiske opplysninger</w:t>
      </w:r>
    </w:p>
    <w:p w:rsidR="00800C60" w:rsidRDefault="00800C60" w:rsidP="00372CC7">
      <w:pPr>
        <w:shd w:val="clear" w:color="auto" w:fill="FFFFFF" w:themeFill="background1"/>
      </w:pPr>
    </w:p>
    <w:p w:rsidR="00372CC7" w:rsidRDefault="00EE3625" w:rsidP="00DB27FB">
      <w:r w:rsidRPr="00EE3625">
        <w:t>11.1 Informasjon om toksikologiske effekter</w:t>
      </w:r>
    </w:p>
    <w:p w:rsidR="00EE3625" w:rsidRDefault="00EE3625" w:rsidP="00EE3625">
      <w:r w:rsidRPr="00EE3625">
        <w:t>Akutt toksisitet</w:t>
      </w:r>
      <w:r>
        <w:tab/>
      </w:r>
      <w:r>
        <w:tab/>
        <w:t>LD50 oral, rotte</w:t>
      </w:r>
      <w:r>
        <w:t>: 20 000 mg/ kg</w:t>
      </w:r>
    </w:p>
    <w:p w:rsidR="00EE3625" w:rsidRDefault="00EE3625" w:rsidP="00EE3625">
      <w:pPr>
        <w:ind w:left="1338" w:firstLine="1270"/>
      </w:pPr>
      <w:r>
        <w:t>LD50 dermal</w:t>
      </w:r>
      <w:r>
        <w:t>, kanin: 20 800 mg/ kg</w:t>
      </w:r>
    </w:p>
    <w:p w:rsidR="00EE3625" w:rsidRDefault="00EE3625" w:rsidP="00EE3625">
      <w:r w:rsidRPr="00EE3625">
        <w:t>Irritasjon/korrosjon</w:t>
      </w:r>
      <w:r>
        <w:tab/>
      </w:r>
      <w:r>
        <w:tab/>
      </w:r>
      <w:r w:rsidRPr="00EE3625">
        <w:t>Ingen kjent risiko.</w:t>
      </w:r>
    </w:p>
    <w:p w:rsidR="00EE3625" w:rsidRDefault="00EE3625" w:rsidP="00EE3625">
      <w:r w:rsidRPr="00EE3625">
        <w:t>Allergifremkallende</w:t>
      </w:r>
      <w:r>
        <w:t xml:space="preserve"> egenskaper</w:t>
      </w:r>
      <w:r>
        <w:tab/>
      </w:r>
      <w:r w:rsidRPr="00EE3625">
        <w:t>Ingen kjent risiko.</w:t>
      </w:r>
    </w:p>
    <w:p w:rsidR="002827F7" w:rsidRDefault="002827F7" w:rsidP="00EE3625">
      <w:r w:rsidRPr="002827F7">
        <w:t>Kreftfremkallende</w:t>
      </w:r>
      <w:r>
        <w:tab/>
      </w:r>
      <w:r>
        <w:tab/>
      </w:r>
      <w:r w:rsidRPr="00EE3625">
        <w:t>Ingen kjent risiko.</w:t>
      </w:r>
    </w:p>
    <w:p w:rsidR="002827F7" w:rsidRDefault="002827F7" w:rsidP="00EE3625">
      <w:r>
        <w:t>Mutagenitet</w:t>
      </w:r>
      <w:r>
        <w:tab/>
      </w:r>
      <w:r>
        <w:tab/>
      </w:r>
      <w:r w:rsidRPr="00EE3625">
        <w:t>Ingen kjent risiko.</w:t>
      </w:r>
    </w:p>
    <w:p w:rsidR="002827F7" w:rsidRDefault="002827F7" w:rsidP="00EE3625">
      <w:r w:rsidRPr="002827F7">
        <w:t>Reproduktiv giftighet</w:t>
      </w:r>
      <w:r>
        <w:tab/>
      </w:r>
      <w:r>
        <w:tab/>
      </w:r>
      <w:r w:rsidRPr="00EE3625">
        <w:t>Ingen kjent risiko.</w:t>
      </w:r>
    </w:p>
    <w:p w:rsidR="002827F7" w:rsidRDefault="002827F7" w:rsidP="00EE3625">
      <w:r w:rsidRPr="002827F7">
        <w:t>Fosterskadelige egenskaper</w:t>
      </w:r>
      <w:r>
        <w:tab/>
      </w:r>
      <w:r w:rsidRPr="00EE3625">
        <w:t>Ingen kjent risiko.</w:t>
      </w:r>
    </w:p>
    <w:p w:rsidR="002827F7" w:rsidRDefault="002827F7" w:rsidP="00EE3625">
      <w:r w:rsidRPr="002827F7">
        <w:t xml:space="preserve">Toksisitet for angitt målorgan </w:t>
      </w:r>
    </w:p>
    <w:p w:rsidR="002827F7" w:rsidRDefault="002827F7" w:rsidP="00EE3625">
      <w:r w:rsidRPr="002827F7">
        <w:t>(enkelteksponering)</w:t>
      </w:r>
      <w:r>
        <w:tab/>
      </w:r>
      <w:r>
        <w:tab/>
      </w:r>
      <w:r w:rsidRPr="00EE3625">
        <w:t>Ingen kjent risiko</w:t>
      </w:r>
    </w:p>
    <w:p w:rsidR="002827F7" w:rsidRDefault="002827F7" w:rsidP="00EE3625">
      <w:r w:rsidRPr="002827F7">
        <w:t xml:space="preserve">Toksisitet for angitt målorgan </w:t>
      </w:r>
    </w:p>
    <w:p w:rsidR="002827F7" w:rsidRDefault="002827F7" w:rsidP="002827F7">
      <w:r w:rsidRPr="002827F7">
        <w:t>(gjentatt eksponering)</w:t>
      </w:r>
      <w:r>
        <w:tab/>
      </w:r>
      <w:r>
        <w:tab/>
      </w:r>
      <w:r w:rsidRPr="00EE3625">
        <w:t>Ingen kjent risiko</w:t>
      </w:r>
    </w:p>
    <w:p w:rsidR="002827F7" w:rsidRDefault="002827F7" w:rsidP="00EE3625">
      <w:r w:rsidRPr="002827F7">
        <w:t>Fare for aspirering</w:t>
      </w:r>
      <w:r>
        <w:tab/>
      </w:r>
      <w:r>
        <w:tab/>
      </w:r>
      <w:r w:rsidRPr="00EE3625">
        <w:t>Ingen kjent risik</w:t>
      </w:r>
      <w:r>
        <w:t>o.</w:t>
      </w:r>
    </w:p>
    <w:p w:rsidR="002827F7" w:rsidRDefault="002827F7" w:rsidP="00EE3625"/>
    <w:p w:rsidR="00E71DF1" w:rsidRDefault="00E71DF1" w:rsidP="00EE3625"/>
    <w:p w:rsidR="00E71DF1" w:rsidRDefault="00E71DF1" w:rsidP="00E71DF1">
      <w:pPr>
        <w:pStyle w:val="Rubrik1"/>
        <w:ind w:left="56"/>
      </w:pPr>
      <w:r>
        <w:lastRenderedPageBreak/>
        <w:t xml:space="preserve">Avsnitt </w:t>
      </w:r>
      <w:r>
        <w:t>12</w:t>
      </w:r>
      <w:r>
        <w:t xml:space="preserve">. </w:t>
      </w:r>
      <w:r w:rsidRPr="00E71DF1">
        <w:t>Økologiske opplysninger</w:t>
      </w:r>
    </w:p>
    <w:p w:rsidR="00E71DF1" w:rsidRDefault="00E71DF1" w:rsidP="00EE3625"/>
    <w:p w:rsidR="00E71DF1" w:rsidRDefault="00E71DF1" w:rsidP="00EE3625">
      <w:r>
        <w:t>12.1 Giftighet</w:t>
      </w:r>
      <w:r w:rsidR="00486F96">
        <w:t>:</w:t>
      </w:r>
    </w:p>
    <w:p w:rsidR="00486F96" w:rsidRDefault="00486F96" w:rsidP="00486F96">
      <w:r>
        <w:t xml:space="preserve">LC50, fisk, 96 h, </w:t>
      </w:r>
      <w:r w:rsidRPr="00486F96">
        <w:t>ferskvann</w:t>
      </w:r>
      <w:r>
        <w:t xml:space="preserve">: 710 000 µg/l Art: Pimephales promelas </w:t>
      </w:r>
    </w:p>
    <w:p w:rsidR="00486F96" w:rsidRDefault="00486F96" w:rsidP="00486F96">
      <w:r>
        <w:t xml:space="preserve">LC50, </w:t>
      </w:r>
      <w:r w:rsidRPr="00486F96">
        <w:t>krepsdyr</w:t>
      </w:r>
      <w:r>
        <w:t xml:space="preserve">, 48 h, </w:t>
      </w:r>
      <w:r w:rsidRPr="00486F96">
        <w:t>ferskvann</w:t>
      </w:r>
      <w:r>
        <w:t xml:space="preserve">: 1 020 000 µg/l Art: Ceriodaphnia dubia </w:t>
      </w:r>
    </w:p>
    <w:p w:rsidR="00E71DF1" w:rsidRDefault="00486F96" w:rsidP="00486F96">
      <w:pPr>
        <w:rPr>
          <w:lang w:val="en-US"/>
        </w:rPr>
      </w:pPr>
      <w:r w:rsidRPr="00486F96">
        <w:rPr>
          <w:lang w:val="en-US"/>
        </w:rPr>
        <w:t xml:space="preserve">EC50, daphnia, 48 h, </w:t>
      </w:r>
      <w:r w:rsidRPr="00486F96">
        <w:rPr>
          <w:lang w:val="en-US"/>
        </w:rPr>
        <w:t>ferskvann</w:t>
      </w:r>
      <w:r w:rsidRPr="00486F96">
        <w:rPr>
          <w:lang w:val="en-US"/>
        </w:rPr>
        <w:t>: &gt; 1000 mg/l Art: Daphnia magna</w:t>
      </w:r>
    </w:p>
    <w:p w:rsidR="00486F96" w:rsidRDefault="00486F96" w:rsidP="00486F96">
      <w:pPr>
        <w:rPr>
          <w:lang w:val="en-US"/>
        </w:rPr>
      </w:pPr>
    </w:p>
    <w:p w:rsidR="00486F96" w:rsidRDefault="00486F96" w:rsidP="00486F96">
      <w:pPr>
        <w:rPr>
          <w:lang w:val="en-US"/>
        </w:rPr>
      </w:pPr>
      <w:r w:rsidRPr="00486F96">
        <w:rPr>
          <w:lang w:val="en-US"/>
        </w:rPr>
        <w:t>12.2 Persistens og nedbrytbarhet</w:t>
      </w:r>
      <w:r>
        <w:rPr>
          <w:lang w:val="en-US"/>
        </w:rPr>
        <w:t>:</w:t>
      </w:r>
    </w:p>
    <w:p w:rsidR="00486F96" w:rsidRPr="00486F96" w:rsidRDefault="00486F96" w:rsidP="00486F96">
      <w:r w:rsidRPr="00486F96">
        <w:t xml:space="preserve">Lett. </w:t>
      </w:r>
    </w:p>
    <w:p w:rsidR="00486F96" w:rsidRPr="00486F96" w:rsidRDefault="00486F96" w:rsidP="00486F96">
      <w:r w:rsidRPr="00486F96">
        <w:t>&gt; 70% i løpet av 28 dager.</w:t>
      </w:r>
    </w:p>
    <w:p w:rsidR="00486F96" w:rsidRPr="00486F96" w:rsidRDefault="00486F96" w:rsidP="00486F96"/>
    <w:p w:rsidR="00486F96" w:rsidRDefault="00486F96" w:rsidP="00486F96">
      <w:pPr>
        <w:rPr>
          <w:lang w:val="en-US"/>
        </w:rPr>
      </w:pPr>
      <w:r>
        <w:rPr>
          <w:lang w:val="en-US"/>
        </w:rPr>
        <w:t>12.3 Bioakkumuleringsevne:</w:t>
      </w:r>
    </w:p>
    <w:p w:rsidR="00486F96" w:rsidRDefault="00486F96" w:rsidP="00486F96">
      <w:pPr>
        <w:rPr>
          <w:lang w:val="en-US"/>
        </w:rPr>
      </w:pPr>
      <w:r w:rsidRPr="00486F96">
        <w:rPr>
          <w:lang w:val="en-US"/>
        </w:rPr>
        <w:t>Log pow: -1.0</w:t>
      </w:r>
    </w:p>
    <w:p w:rsidR="00486F96" w:rsidRDefault="00486F96" w:rsidP="00486F96">
      <w:pPr>
        <w:rPr>
          <w:lang w:val="en-US"/>
        </w:rPr>
      </w:pPr>
    </w:p>
    <w:p w:rsidR="00486F96" w:rsidRPr="00486F96" w:rsidRDefault="00486F96" w:rsidP="00486F96">
      <w:pPr>
        <w:rPr>
          <w:lang w:val="en-US"/>
        </w:rPr>
      </w:pPr>
      <w:r>
        <w:rPr>
          <w:lang w:val="en-US"/>
        </w:rPr>
        <w:t xml:space="preserve">12.4 </w:t>
      </w:r>
      <w:r w:rsidRPr="00486F96">
        <w:rPr>
          <w:lang w:val="en-US"/>
        </w:rPr>
        <w:t xml:space="preserve">Mobilitet i jord: </w:t>
      </w:r>
    </w:p>
    <w:p w:rsidR="00486F96" w:rsidRDefault="00486F96" w:rsidP="00486F96">
      <w:pPr>
        <w:rPr>
          <w:lang w:val="en-US"/>
        </w:rPr>
      </w:pPr>
      <w:r w:rsidRPr="00486F96">
        <w:rPr>
          <w:lang w:val="en-US"/>
        </w:rPr>
        <w:t>Ingen informasjon tilgjengelig.</w:t>
      </w:r>
    </w:p>
    <w:p w:rsidR="00486F96" w:rsidRDefault="00486F96" w:rsidP="00486F96">
      <w:pPr>
        <w:rPr>
          <w:lang w:val="en-US"/>
        </w:rPr>
      </w:pPr>
    </w:p>
    <w:p w:rsidR="00486F96" w:rsidRDefault="00486F96" w:rsidP="00486F96">
      <w:r w:rsidRPr="00486F96">
        <w:t>12.5 Resultater av PBT- og vPvB-vurdering</w:t>
      </w:r>
      <w:r>
        <w:t>:</w:t>
      </w:r>
    </w:p>
    <w:p w:rsidR="00486F96" w:rsidRDefault="00486F96" w:rsidP="00486F96">
      <w:r>
        <w:t>I</w:t>
      </w:r>
      <w:r w:rsidRPr="00486F96">
        <w:t xml:space="preserve">kke </w:t>
      </w:r>
      <w:r>
        <w:t>kreves.</w:t>
      </w:r>
    </w:p>
    <w:p w:rsidR="00486F96" w:rsidRDefault="00486F96" w:rsidP="00486F96"/>
    <w:p w:rsidR="00486F96" w:rsidRDefault="00486F96" w:rsidP="00486F96">
      <w:r>
        <w:t>12.6 Andre skadevirkninger:</w:t>
      </w:r>
    </w:p>
    <w:p w:rsidR="00486F96" w:rsidRPr="00486F96" w:rsidRDefault="00486F96" w:rsidP="00486F96">
      <w:r>
        <w:t>Ingen informasjon tilgjengelig.</w:t>
      </w:r>
    </w:p>
    <w:p w:rsidR="00486F96" w:rsidRPr="00486F96" w:rsidRDefault="00486F96" w:rsidP="00486F96"/>
    <w:p w:rsidR="0014541F" w:rsidRDefault="0014541F" w:rsidP="0014541F">
      <w:pPr>
        <w:pStyle w:val="Rubrik1"/>
        <w:ind w:left="56"/>
      </w:pPr>
      <w:r>
        <w:t xml:space="preserve">Avsnitt </w:t>
      </w:r>
      <w:r>
        <w:t>13</w:t>
      </w:r>
      <w:r>
        <w:t xml:space="preserve">. </w:t>
      </w:r>
      <w:r w:rsidR="0037199C">
        <w:t>D</w:t>
      </w:r>
      <w:r>
        <w:t>isponering</w:t>
      </w:r>
    </w:p>
    <w:p w:rsidR="00E71DF1" w:rsidRPr="00486F96" w:rsidRDefault="00E71DF1" w:rsidP="00EE3625"/>
    <w:p w:rsidR="00E71DF1" w:rsidRDefault="0014541F" w:rsidP="0014541F">
      <w:pPr>
        <w:shd w:val="clear" w:color="auto" w:fill="FFFFFF" w:themeFill="background1"/>
      </w:pPr>
      <w:r w:rsidRPr="0014541F">
        <w:t>13.1 Avfallsbehandlingsmetoder</w:t>
      </w:r>
    </w:p>
    <w:p w:rsidR="0014541F" w:rsidRDefault="0014541F" w:rsidP="0014541F">
      <w:pPr>
        <w:shd w:val="clear" w:color="auto" w:fill="FFFFFF" w:themeFill="background1"/>
      </w:pPr>
      <w:r w:rsidRPr="0014541F">
        <w:t>Mulig avfall er 16 01 15: frostvæske andre enn</w:t>
      </w:r>
      <w:r>
        <w:t xml:space="preserve"> de som er spesifisert i </w:t>
      </w:r>
      <w:r w:rsidRPr="0014541F">
        <w:t>16 01 14</w:t>
      </w:r>
      <w:r>
        <w:t>.</w:t>
      </w:r>
    </w:p>
    <w:p w:rsidR="0014541F" w:rsidRDefault="0014541F" w:rsidP="0014541F">
      <w:pPr>
        <w:shd w:val="clear" w:color="auto" w:fill="FFFFFF" w:themeFill="background1"/>
      </w:pPr>
    </w:p>
    <w:p w:rsidR="0037199C" w:rsidRDefault="0037199C" w:rsidP="0014541F">
      <w:pPr>
        <w:shd w:val="clear" w:color="auto" w:fill="FFFFFF" w:themeFill="background1"/>
      </w:pPr>
    </w:p>
    <w:p w:rsidR="0037199C" w:rsidRDefault="0037199C" w:rsidP="0037199C">
      <w:pPr>
        <w:pStyle w:val="Rubrik1"/>
        <w:ind w:left="56"/>
      </w:pPr>
      <w:r>
        <w:t xml:space="preserve">Avsnitt </w:t>
      </w:r>
      <w:r>
        <w:t>14</w:t>
      </w:r>
      <w:r>
        <w:t xml:space="preserve">. </w:t>
      </w:r>
      <w:r>
        <w:t>Transportopplysninger</w:t>
      </w:r>
    </w:p>
    <w:p w:rsidR="0037199C" w:rsidRDefault="0037199C" w:rsidP="0014541F">
      <w:pPr>
        <w:shd w:val="clear" w:color="auto" w:fill="FFFFFF" w:themeFill="background1"/>
      </w:pPr>
    </w:p>
    <w:p w:rsidR="0037199C" w:rsidRDefault="0037199C" w:rsidP="0014541F">
      <w:pPr>
        <w:shd w:val="clear" w:color="auto" w:fill="FFFFFF" w:themeFill="background1"/>
      </w:pPr>
      <w:r w:rsidRPr="0037199C">
        <w:t>Ikke klassifisert som farlig gods.</w:t>
      </w:r>
    </w:p>
    <w:p w:rsidR="0037199C" w:rsidRDefault="0037199C" w:rsidP="0014541F">
      <w:pPr>
        <w:shd w:val="clear" w:color="auto" w:fill="FFFFFF" w:themeFill="background1"/>
      </w:pPr>
    </w:p>
    <w:p w:rsidR="0037199C" w:rsidRDefault="0037199C" w:rsidP="0037199C">
      <w:pPr>
        <w:shd w:val="clear" w:color="auto" w:fill="FFFFFF" w:themeFill="background1"/>
      </w:pPr>
    </w:p>
    <w:p w:rsidR="0037199C" w:rsidRDefault="0037199C" w:rsidP="0037199C">
      <w:pPr>
        <w:pStyle w:val="Rubrik1"/>
        <w:ind w:left="56"/>
      </w:pPr>
      <w:r>
        <w:t xml:space="preserve">Avsnitt </w:t>
      </w:r>
      <w:r>
        <w:t>15</w:t>
      </w:r>
      <w:r>
        <w:t xml:space="preserve">. </w:t>
      </w:r>
      <w:r w:rsidRPr="0037199C">
        <w:t>Regelverksmessige opplysninger</w:t>
      </w:r>
    </w:p>
    <w:p w:rsidR="0037199C" w:rsidRDefault="0037199C" w:rsidP="0014541F">
      <w:pPr>
        <w:shd w:val="clear" w:color="auto" w:fill="FFFFFF" w:themeFill="background1"/>
      </w:pPr>
    </w:p>
    <w:p w:rsidR="0037199C" w:rsidRDefault="0037199C" w:rsidP="0037199C">
      <w:pPr>
        <w:shd w:val="clear" w:color="auto" w:fill="FFFFFF" w:themeFill="background1"/>
      </w:pPr>
      <w:r>
        <w:t>15.1 / spesifikke regler for stoffet eller blandingen med hensyn til sikkerhet, helse og miljø: Nei</w:t>
      </w:r>
      <w:r w:rsidR="00E25577">
        <w:t>.</w:t>
      </w:r>
      <w:r>
        <w:t xml:space="preserve"> </w:t>
      </w:r>
    </w:p>
    <w:p w:rsidR="0037199C" w:rsidRDefault="0037199C" w:rsidP="0037199C">
      <w:pPr>
        <w:shd w:val="clear" w:color="auto" w:fill="FFFFFF" w:themeFill="background1"/>
      </w:pPr>
      <w:r>
        <w:t xml:space="preserve">15.2 Kjemisk sikkerhetsvurdering: Ikke </w:t>
      </w:r>
      <w:r w:rsidR="00E25577">
        <w:t>kreves.</w:t>
      </w:r>
    </w:p>
    <w:p w:rsidR="00E25577" w:rsidRDefault="00E25577" w:rsidP="0037199C">
      <w:pPr>
        <w:shd w:val="clear" w:color="auto" w:fill="FFFFFF" w:themeFill="background1"/>
      </w:pPr>
    </w:p>
    <w:p w:rsidR="00E25577" w:rsidRDefault="00E25577" w:rsidP="00E25577">
      <w:pPr>
        <w:pStyle w:val="Rubrik1"/>
        <w:ind w:left="56"/>
      </w:pPr>
      <w:r>
        <w:t xml:space="preserve">Avsnitt </w:t>
      </w:r>
      <w:r>
        <w:t>16</w:t>
      </w:r>
      <w:r>
        <w:t xml:space="preserve">. </w:t>
      </w:r>
      <w:r>
        <w:t>Andre opplysninger</w:t>
      </w:r>
    </w:p>
    <w:p w:rsidR="0014541F" w:rsidRPr="00486F96" w:rsidRDefault="0014541F" w:rsidP="0014541F">
      <w:pPr>
        <w:shd w:val="clear" w:color="auto" w:fill="FFFFFF" w:themeFill="background1"/>
      </w:pPr>
    </w:p>
    <w:p w:rsidR="002827F7" w:rsidRDefault="00E25577" w:rsidP="0014541F">
      <w:pPr>
        <w:shd w:val="clear" w:color="auto" w:fill="FFFFFF" w:themeFill="background1"/>
      </w:pPr>
      <w:r w:rsidRPr="00E25577">
        <w:t>Informasjonen i dette sikkerhetsdata antas å være korrekt i henhold til dagens kunnskaper og erfaring, men ingen garanti kan gis at opplysningene er fullstendige. Det er derfor i din egen interesse å gjøre det klart om informasjonen er tilstrekkelig for det formålet som produktet skal brukes.</w:t>
      </w:r>
    </w:p>
    <w:p w:rsidR="00E25577" w:rsidRDefault="00E25577" w:rsidP="0014541F">
      <w:pPr>
        <w:shd w:val="clear" w:color="auto" w:fill="FFFFFF" w:themeFill="background1"/>
      </w:pPr>
    </w:p>
    <w:p w:rsidR="00E25577" w:rsidRDefault="00E25577" w:rsidP="0014541F">
      <w:pPr>
        <w:shd w:val="clear" w:color="auto" w:fill="FFFFFF" w:themeFill="background1"/>
      </w:pPr>
      <w:r w:rsidRPr="00E25577">
        <w:t>Nye reviderte HMS-d</w:t>
      </w:r>
      <w:r>
        <w:t xml:space="preserve">atablad som erstatter versjon </w:t>
      </w:r>
      <w:r w:rsidR="00867147">
        <w:t>20</w:t>
      </w:r>
      <w:r>
        <w:t>11-09-30.</w:t>
      </w:r>
    </w:p>
    <w:p w:rsidR="00E25577" w:rsidRPr="00486F96" w:rsidRDefault="00E25577" w:rsidP="0014541F">
      <w:pPr>
        <w:shd w:val="clear" w:color="auto" w:fill="FFFFFF" w:themeFill="background1"/>
      </w:pPr>
      <w:r w:rsidRPr="00E25577">
        <w:t>Nye data / endringer i punkt 1, 2, 3, 4, 5, 6, 7, 8, 9, 10, 11, 12, 13, 14, 15</w:t>
      </w:r>
      <w:r>
        <w:t>.</w:t>
      </w:r>
    </w:p>
    <w:p w:rsidR="00372CC7" w:rsidRPr="00486F96" w:rsidRDefault="00372CC7" w:rsidP="00372CC7">
      <w:pPr>
        <w:shd w:val="clear" w:color="auto" w:fill="FFFFFF" w:themeFill="background1"/>
      </w:pPr>
    </w:p>
    <w:p w:rsidR="00ED4678" w:rsidRPr="00486F96" w:rsidRDefault="00ED4678" w:rsidP="00372CC7">
      <w:pPr>
        <w:shd w:val="clear" w:color="auto" w:fill="FFFFFF" w:themeFill="background1"/>
      </w:pPr>
    </w:p>
    <w:p w:rsidR="000C192E" w:rsidRPr="00486F96" w:rsidRDefault="000C192E" w:rsidP="00DB27FB"/>
    <w:sectPr w:rsidR="000C192E" w:rsidRPr="00486F96" w:rsidSect="007A14D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361" w:right="3634" w:bottom="136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E9" w:rsidRDefault="00605BE9">
      <w:pPr>
        <w:spacing w:after="0" w:line="240" w:lineRule="auto"/>
      </w:pPr>
      <w:r>
        <w:separator/>
      </w:r>
    </w:p>
  </w:endnote>
  <w:endnote w:type="continuationSeparator" w:id="0">
    <w:p w:rsidR="00605BE9" w:rsidRDefault="0060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47" w:rsidRDefault="00867147">
    <w:pPr>
      <w:pStyle w:val="Sidfot"/>
    </w:pPr>
    <w:r w:rsidRPr="00867147">
      <w:rPr>
        <w:color w:val="5B9BD5" w:themeColor="accent1"/>
      </w:rPr>
      <w:t>Utgitt dato:</w:t>
    </w: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5AB45B" wp14:editId="13C5F14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8C90E9" id="Rektangel 452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2014-10-08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E9" w:rsidRDefault="00605BE9">
      <w:pPr>
        <w:spacing w:after="0" w:line="240" w:lineRule="auto"/>
      </w:pPr>
      <w:r>
        <w:separator/>
      </w:r>
    </w:p>
  </w:footnote>
  <w:footnote w:type="continuationSeparator" w:id="0">
    <w:p w:rsidR="00605BE9" w:rsidRDefault="0060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31F" w:rsidRDefault="004F331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929640</wp:posOffset>
              </wp:positionH>
              <wp:positionV relativeFrom="page">
                <wp:posOffset>3645384</wp:posOffset>
              </wp:positionV>
              <wp:extent cx="1432573" cy="86841"/>
              <wp:effectExtent l="0" t="0" r="0" b="0"/>
              <wp:wrapNone/>
              <wp:docPr id="8093" name="Group 8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2573" cy="86841"/>
                        <a:chOff x="0" y="0"/>
                        <a:chExt cx="1432573" cy="86841"/>
                      </a:xfrm>
                    </wpg:grpSpPr>
                    <wps:wsp>
                      <wps:cNvPr id="8549" name="Shape 8549"/>
                      <wps:cNvSpPr/>
                      <wps:spPr>
                        <a:xfrm>
                          <a:off x="0" y="0"/>
                          <a:ext cx="1432573" cy="8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73" h="86841">
                              <a:moveTo>
                                <a:pt x="0" y="0"/>
                              </a:moveTo>
                              <a:lnTo>
                                <a:pt x="1432573" y="0"/>
                              </a:lnTo>
                              <a:lnTo>
                                <a:pt x="1432573" y="86841"/>
                              </a:lnTo>
                              <a:lnTo>
                                <a:pt x="0" y="868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0F2D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09454C" id="Group 8093" o:spid="_x0000_s1026" style="position:absolute;margin-left:73.2pt;margin-top:287.05pt;width:112.8pt;height:6.85pt;z-index:-251658240;mso-position-horizontal-relative:page;mso-position-vertical-relative:page" coordsize="14325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">
              <v:shape id="Shape 8549" o:spid="_x0000_s1027" style="position:absolute;width:14325;height:868;visibility:visible;mso-wrap-style:square;v-text-anchor:top" coordsize="1432573,86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BVMUA&#10;AADdAAAADwAAAGRycy9kb3ducmV2LnhtbESPQWvCQBSE7wX/w/KE3urGYq1GV5GipVejF2/P7DNZ&#10;zL4N2TWJ/fVdQehxmJlvmOW6t5VoqfHGsYLxKAFBnDttuFBwPOzeZiB8QNZYOSYFd/KwXg1elphq&#10;1/Ge2iwUIkLYp6igDKFOpfR5SRb9yNXE0bu4xmKIsimkbrCLcFvJ9ySZSouG40KJNX2VlF+zm1Ww&#10;76Ztdq7k7nt7nx8SdzK/nzej1Ouw3yxABOrDf/jZ/tEKZh+TOTzex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kFUxQAAAN0AAAAPAAAAAAAAAAAAAAAAAJgCAABkcnMv&#10;ZG93bnJldi54bWxQSwUGAAAAAAQABAD1AAAAigMAAAAA&#10;" path="m,l1432573,r,86841l,86841,,e" fillcolor="#e0f2df" stroked="f" strokeweight="0">
                <v:stroke miterlimit="83231f" joinstyle="miter"/>
                <v:path arrowok="t" textboxrect="0,0,1432573,86841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31F" w:rsidRDefault="004F331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929640</wp:posOffset>
              </wp:positionH>
              <wp:positionV relativeFrom="page">
                <wp:posOffset>3645384</wp:posOffset>
              </wp:positionV>
              <wp:extent cx="1432573" cy="86841"/>
              <wp:effectExtent l="0" t="0" r="0" b="0"/>
              <wp:wrapNone/>
              <wp:docPr id="8090" name="Group 8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2573" cy="86841"/>
                        <a:chOff x="0" y="0"/>
                        <a:chExt cx="1432573" cy="86841"/>
                      </a:xfrm>
                    </wpg:grpSpPr>
                    <wps:wsp>
                      <wps:cNvPr id="8548" name="Shape 8548"/>
                      <wps:cNvSpPr/>
                      <wps:spPr>
                        <a:xfrm>
                          <a:off x="0" y="0"/>
                          <a:ext cx="1432573" cy="8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73" h="86841">
                              <a:moveTo>
                                <a:pt x="0" y="0"/>
                              </a:moveTo>
                              <a:lnTo>
                                <a:pt x="1432573" y="0"/>
                              </a:lnTo>
                              <a:lnTo>
                                <a:pt x="1432573" y="86841"/>
                              </a:lnTo>
                              <a:lnTo>
                                <a:pt x="0" y="868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0F2D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026E24" id="Group 8090" o:spid="_x0000_s1026" style="position:absolute;margin-left:73.2pt;margin-top:287.05pt;width:112.8pt;height:6.85pt;z-index:-251657216;mso-position-horizontal-relative:page;mso-position-vertical-relative:page" coordsize="14325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">
              <v:shape id="Shape 8548" o:spid="_x0000_s1027" style="position:absolute;width:14325;height:868;visibility:visible;mso-wrap-style:square;v-text-anchor:top" coordsize="1432573,86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kz8IA&#10;AADdAAAADwAAAGRycy9kb3ducmV2LnhtbERPPW/CMBDdkfgP1iF1A4eKUggYhCqoWAld2I74SCzi&#10;cxSbJPTX46FSx6f3vd72thItNd44VjCdJCCIc6cNFwp+zofxAoQPyBorx6TgSR62m+Fgjal2HZ+o&#10;zUIhYgj7FBWUIdSplD4vyaKfuJo4cjfXWAwRNoXUDXYx3FbyPUnm0qLh2FBiTV8l5ffsYRWcunmb&#10;XSt5+N4/l+fEXczv58Mo9TbqdysQgfrwL/5zH7WCxccszo1v4hO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5uTPwgAAAN0AAAAPAAAAAAAAAAAAAAAAAJgCAABkcnMvZG93&#10;bnJldi54bWxQSwUGAAAAAAQABAD1AAAAhwMAAAAA&#10;" path="m,l1432573,r,86841l,86841,,e" fillcolor="#e0f2df" stroked="f" strokeweight="0">
                <v:stroke miterlimit="83231f" joinstyle="miter"/>
                <v:path arrowok="t" textboxrect="0,0,1432573,86841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31F" w:rsidRDefault="004F331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929640</wp:posOffset>
              </wp:positionH>
              <wp:positionV relativeFrom="page">
                <wp:posOffset>3645384</wp:posOffset>
              </wp:positionV>
              <wp:extent cx="1432573" cy="86841"/>
              <wp:effectExtent l="0" t="0" r="0" b="0"/>
              <wp:wrapNone/>
              <wp:docPr id="8087" name="Group 80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2573" cy="86841"/>
                        <a:chOff x="0" y="0"/>
                        <a:chExt cx="1432573" cy="86841"/>
                      </a:xfrm>
                    </wpg:grpSpPr>
                    <wps:wsp>
                      <wps:cNvPr id="8547" name="Shape 8547"/>
                      <wps:cNvSpPr/>
                      <wps:spPr>
                        <a:xfrm>
                          <a:off x="0" y="0"/>
                          <a:ext cx="1432573" cy="8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73" h="86841">
                              <a:moveTo>
                                <a:pt x="0" y="0"/>
                              </a:moveTo>
                              <a:lnTo>
                                <a:pt x="1432573" y="0"/>
                              </a:lnTo>
                              <a:lnTo>
                                <a:pt x="1432573" y="86841"/>
                              </a:lnTo>
                              <a:lnTo>
                                <a:pt x="0" y="868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0F2D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CA8F80" id="Group 8087" o:spid="_x0000_s1026" style="position:absolute;margin-left:73.2pt;margin-top:287.05pt;width:112.8pt;height:6.85pt;z-index:-251656192;mso-position-horizontal-relative:page;mso-position-vertical-relative:page" coordsize="14325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">
              <v:shape id="Shape 8547" o:spid="_x0000_s1027" style="position:absolute;width:14325;height:868;visibility:visible;mso-wrap-style:square;v-text-anchor:top" coordsize="1432573,86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wvcUA&#10;AADdAAAADwAAAGRycy9kb3ducmV2LnhtbESPzW7CMBCE75V4B2uReisOFeUnYBCqoOqV0Au3JV4S&#10;i3gdxSYJffoaCanH0cx8o1lteluJlhpvHCsYjxIQxLnThgsFP8f92xyED8gaK8ek4E4eNuvBywpT&#10;7To+UJuFQkQI+xQVlCHUqZQ+L8miH7maOHoX11gMUTaF1A12EW4r+Z4kU2nRcFwosabPkvJrdrMK&#10;Dt20zc6V3H/t7otj4k7md3YzSr0O++0SRKA+/Ief7W+tYP4xmcHjTX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XC9xQAAAN0AAAAPAAAAAAAAAAAAAAAAAJgCAABkcnMv&#10;ZG93bnJldi54bWxQSwUGAAAAAAQABAD1AAAAigMAAAAA&#10;" path="m,l1432573,r,86841l,86841,,e" fillcolor="#e0f2df" stroked="f" strokeweight="0">
                <v:stroke miterlimit="83231f" joinstyle="miter"/>
                <v:path arrowok="t" textboxrect="0,0,1432573,86841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C66D4"/>
    <w:multiLevelType w:val="multilevel"/>
    <w:tmpl w:val="B088D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>
    <w:nsid w:val="3F847768"/>
    <w:multiLevelType w:val="multilevel"/>
    <w:tmpl w:val="374838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A7"/>
    <w:rsid w:val="00023923"/>
    <w:rsid w:val="000C192E"/>
    <w:rsid w:val="0014541F"/>
    <w:rsid w:val="00146CFD"/>
    <w:rsid w:val="00164E77"/>
    <w:rsid w:val="00193EAE"/>
    <w:rsid w:val="00225818"/>
    <w:rsid w:val="002827F7"/>
    <w:rsid w:val="00297F91"/>
    <w:rsid w:val="002D180B"/>
    <w:rsid w:val="00323D1F"/>
    <w:rsid w:val="0037199C"/>
    <w:rsid w:val="00372CC7"/>
    <w:rsid w:val="003D154D"/>
    <w:rsid w:val="00486F96"/>
    <w:rsid w:val="004F331F"/>
    <w:rsid w:val="00605BE9"/>
    <w:rsid w:val="007A14D3"/>
    <w:rsid w:val="007B2253"/>
    <w:rsid w:val="007F7437"/>
    <w:rsid w:val="00800C60"/>
    <w:rsid w:val="00867147"/>
    <w:rsid w:val="008B2EEB"/>
    <w:rsid w:val="008E131B"/>
    <w:rsid w:val="009242B4"/>
    <w:rsid w:val="00982DB5"/>
    <w:rsid w:val="00996268"/>
    <w:rsid w:val="00A500D3"/>
    <w:rsid w:val="00C777A7"/>
    <w:rsid w:val="00CB4A26"/>
    <w:rsid w:val="00DB27FB"/>
    <w:rsid w:val="00E25577"/>
    <w:rsid w:val="00E51E22"/>
    <w:rsid w:val="00E71DF1"/>
    <w:rsid w:val="00ED4678"/>
    <w:rsid w:val="00EE3625"/>
    <w:rsid w:val="00F900EF"/>
    <w:rsid w:val="00F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A0F00-9D95-4B5D-ABCA-F692BBBE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" w:line="249" w:lineRule="auto"/>
      <w:ind w:left="34" w:hanging="10"/>
    </w:pPr>
    <w:rPr>
      <w:rFonts w:ascii="Arial" w:eastAsia="Arial" w:hAnsi="Arial" w:cs="Arial"/>
      <w:color w:val="000000"/>
      <w:sz w:val="12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hd w:val="clear" w:color="auto" w:fill="E0F2DF"/>
      <w:spacing w:after="0"/>
      <w:ind w:left="34" w:hanging="10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2" w:line="266" w:lineRule="auto"/>
      <w:ind w:left="34" w:hanging="10"/>
      <w:outlineLvl w:val="1"/>
    </w:pPr>
    <w:rPr>
      <w:rFonts w:ascii="Arial" w:eastAsia="Arial" w:hAnsi="Arial" w:cs="Arial"/>
      <w:b/>
      <w:color w:val="000000"/>
      <w:sz w:val="1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Arial" w:eastAsia="Arial" w:hAnsi="Arial" w:cs="Arial"/>
      <w:b/>
      <w:color w:val="000000"/>
      <w:sz w:val="14"/>
    </w:rPr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2D180B"/>
    <w:pPr>
      <w:ind w:left="720"/>
      <w:contextualSpacing/>
    </w:pPr>
  </w:style>
  <w:style w:type="table" w:styleId="Tabellrutnt">
    <w:name w:val="Table Grid"/>
    <w:basedOn w:val="Normaltabell"/>
    <w:uiPriority w:val="39"/>
    <w:rsid w:val="002D1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86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7147"/>
    <w:rPr>
      <w:rFonts w:ascii="Arial" w:eastAsia="Arial" w:hAnsi="Arial" w:cs="Arial"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1386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uniol</dc:creator>
  <cp:keywords/>
  <cp:lastModifiedBy>Uniol Produkter AB</cp:lastModifiedBy>
  <cp:revision>23</cp:revision>
  <dcterms:created xsi:type="dcterms:W3CDTF">2014-10-07T21:14:00Z</dcterms:created>
  <dcterms:modified xsi:type="dcterms:W3CDTF">2014-10-07T23:35:00Z</dcterms:modified>
</cp:coreProperties>
</file>